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08" w:rsidRPr="0070001B" w:rsidRDefault="001A0B08" w:rsidP="001A0B08">
      <w:pPr>
        <w:tabs>
          <w:tab w:val="left" w:pos="4060"/>
        </w:tabs>
        <w:spacing w:line="330" w:lineRule="exact"/>
        <w:ind w:leftChars="1358" w:left="3259"/>
        <w:rPr>
          <w:rFonts w:ascii="標楷體" w:eastAsia="標楷體" w:hAnsi="標楷體" w:cs="標楷體"/>
        </w:rPr>
      </w:pPr>
      <w:r w:rsidRPr="0070001B">
        <w:rPr>
          <w:rFonts w:ascii="標楷體" w:eastAsia="標楷體" w:hAnsi="標楷體" w:hint="eastAsia"/>
          <w:sz w:val="16"/>
          <w:szCs w:val="16"/>
          <w:lang w:val="zh-TW"/>
        </w:rPr>
        <w:t>附件二</w:t>
      </w:r>
      <w:r>
        <w:rPr>
          <w:rFonts w:ascii="標楷體" w:eastAsia="標楷體" w:hAnsi="標楷體" w:hint="eastAsia"/>
          <w:sz w:val="16"/>
          <w:szCs w:val="16"/>
          <w:lang w:val="zh-TW"/>
        </w:rPr>
        <w:t xml:space="preserve">   </w:t>
      </w:r>
      <w:r w:rsidRPr="0070001B">
        <w:rPr>
          <w:rFonts w:ascii="標楷體" w:eastAsia="標楷體" w:hAnsi="標楷體"/>
        </w:rPr>
        <w:t>20</w:t>
      </w:r>
      <w:r w:rsidRPr="0070001B">
        <w:rPr>
          <w:rFonts w:ascii="標楷體" w:eastAsia="標楷體" w:hAnsi="標楷體" w:hint="eastAsia"/>
        </w:rPr>
        <w:t>20</w:t>
      </w:r>
      <w:r w:rsidRPr="0070001B">
        <w:rPr>
          <w:rFonts w:ascii="標楷體" w:eastAsia="標楷體" w:hAnsi="標楷體" w:hint="eastAsia"/>
          <w:lang w:val="zh-TW"/>
        </w:rPr>
        <w:t>年度金口獎演講比賽辦法</w:t>
      </w:r>
      <w:r>
        <w:rPr>
          <w:rFonts w:ascii="標楷體" w:eastAsia="標楷體" w:hAnsi="標楷體" w:hint="eastAsia"/>
          <w:lang w:val="zh-TW"/>
        </w:rPr>
        <w:t xml:space="preserve">             </w:t>
      </w:r>
      <w:r w:rsidRPr="00EC0276">
        <w:rPr>
          <w:rFonts w:ascii="標楷體" w:eastAsia="標楷體" w:hAnsi="標楷體" w:hint="eastAsia"/>
          <w:sz w:val="16"/>
          <w:szCs w:val="16"/>
          <w:lang w:val="zh-TW"/>
        </w:rPr>
        <w:t>（2020年02月08日</w:t>
      </w:r>
      <w:r>
        <w:rPr>
          <w:rFonts w:ascii="標楷體" w:eastAsia="標楷體" w:hAnsi="標楷體" w:hint="eastAsia"/>
          <w:sz w:val="16"/>
          <w:szCs w:val="16"/>
          <w:lang w:val="zh-TW"/>
        </w:rPr>
        <w:t xml:space="preserve"> 版）</w:t>
      </w:r>
    </w:p>
    <w:tbl>
      <w:tblPr>
        <w:tblStyle w:val="TableNormal"/>
        <w:tblW w:w="104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15"/>
        <w:gridCol w:w="2278"/>
        <w:gridCol w:w="2018"/>
        <w:gridCol w:w="2442"/>
        <w:gridCol w:w="317"/>
        <w:gridCol w:w="2302"/>
      </w:tblGrid>
      <w:tr w:rsidR="001A0B08" w:rsidRPr="0004097A" w:rsidTr="00A92B02">
        <w:trPr>
          <w:trHeight w:val="62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0B08" w:rsidRPr="0004097A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階段辦法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分會長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盃</w:t>
            </w:r>
            <w:proofErr w:type="gramEnd"/>
          </w:p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(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預賽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總會理事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盃</w:t>
            </w:r>
            <w:proofErr w:type="gramEnd"/>
          </w:p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(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初賽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副總會長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盃</w:t>
            </w:r>
            <w:proofErr w:type="gramEnd"/>
          </w:p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(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複賽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總會長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盃</w:t>
            </w:r>
            <w:proofErr w:type="gramEnd"/>
          </w:p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(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決賽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1A0B08" w:rsidRPr="0004097A" w:rsidTr="00A92B02">
        <w:trPr>
          <w:trHeight w:val="30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語言分組</w:t>
            </w:r>
          </w:p>
        </w:tc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國語組、台語組、客語組、英語組、日語組、法語組、西班牙語組</w:t>
            </w:r>
          </w:p>
        </w:tc>
      </w:tr>
      <w:tr w:rsidR="001A0B08" w:rsidRPr="0004097A" w:rsidTr="00A92B02">
        <w:trPr>
          <w:trHeight w:val="957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參與資格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1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青商組</w:t>
            </w:r>
            <w:r w:rsidRPr="0004097A">
              <w:rPr>
                <w:rFonts w:ascii="標楷體" w:eastAsia="標楷體" w:hAnsi="標楷體"/>
                <w:szCs w:val="20"/>
              </w:rPr>
              <w:t>: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分會基本會友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2.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社會組</w:t>
            </w:r>
            <w:r w:rsidRPr="0004097A">
              <w:rPr>
                <w:rFonts w:ascii="標楷體" w:eastAsia="標楷體" w:hAnsi="標楷體"/>
                <w:szCs w:val="20"/>
              </w:rPr>
              <w:t>: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社會人士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1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青商組</w:t>
            </w:r>
            <w:r w:rsidRPr="0004097A">
              <w:rPr>
                <w:rFonts w:ascii="標楷體" w:eastAsia="標楷體" w:hAnsi="標楷體"/>
                <w:szCs w:val="20"/>
              </w:rPr>
              <w:t>: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基本會友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2.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社會組</w:t>
            </w:r>
            <w:r w:rsidRPr="0004097A">
              <w:rPr>
                <w:rFonts w:ascii="標楷體" w:eastAsia="標楷體" w:hAnsi="標楷體"/>
                <w:szCs w:val="20"/>
              </w:rPr>
              <w:t>: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社會人士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1.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初賽青商組參賽選手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2.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初賽社會組參賽選手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3.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種子選手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1.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青商組：各區複賽前五名。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2.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社會組：各區複賽前五名。</w:t>
            </w:r>
          </w:p>
        </w:tc>
      </w:tr>
      <w:tr w:rsidR="001A0B08" w:rsidRPr="0004097A" w:rsidTr="00A92B02">
        <w:trPr>
          <w:trHeight w:val="30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報名人數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不限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不限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ind w:firstLine="110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獲得複賽資格之選手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獲得決賽資格之選手</w:t>
            </w:r>
          </w:p>
        </w:tc>
      </w:tr>
      <w:tr w:rsidR="001A0B08" w:rsidRPr="0004097A" w:rsidTr="00A92B02">
        <w:trPr>
          <w:trHeight w:val="170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比賽題目</w:t>
            </w:r>
          </w:p>
        </w:tc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指定題目</w:t>
            </w:r>
            <w:r>
              <w:rPr>
                <w:rFonts w:ascii="標楷體" w:eastAsia="標楷體" w:hAnsi="標楷體" w:hint="eastAsia"/>
                <w:szCs w:val="20"/>
                <w:lang w:val="zh-TW"/>
              </w:rPr>
              <w:t>：領袖</w:t>
            </w:r>
          </w:p>
          <w:p w:rsidR="001A0B08" w:rsidRPr="0004097A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國    語：</w:t>
            </w:r>
            <w:r>
              <w:rPr>
                <w:rFonts w:ascii="標楷體" w:eastAsia="標楷體" w:hAnsi="標楷體" w:hint="eastAsia"/>
                <w:szCs w:val="20"/>
                <w:lang w:val="zh-TW"/>
              </w:rPr>
              <w:t>領袖</w:t>
            </w:r>
          </w:p>
          <w:p w:rsidR="001A0B08" w:rsidRPr="0004097A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台</w:t>
            </w:r>
            <w:r w:rsidRPr="00417AF0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語</w:t>
            </w:r>
            <w:r w:rsidRPr="000E03CC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領袖（</w:t>
            </w:r>
            <w:r w:rsidRPr="0004097A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lí</w:t>
            </w:r>
            <w:proofErr w:type="spellStart"/>
            <w:r w:rsidRPr="0004097A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ng-si</w:t>
            </w:r>
            <w:proofErr w:type="spellEnd"/>
            <w:r w:rsidRPr="0004097A"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ù</w:t>
            </w:r>
            <w:r>
              <w:rPr>
                <w:rFonts w:ascii="標楷體" w:eastAsia="標楷體" w:hAnsi="標楷體" w:hint="eastAsia"/>
                <w:szCs w:val="20"/>
                <w:shd w:val="clear" w:color="auto" w:fill="FFFFFF"/>
              </w:rPr>
              <w:t>）</w:t>
            </w:r>
          </w:p>
          <w:p w:rsidR="001A0B08" w:rsidRPr="0004097A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客</w:t>
            </w:r>
            <w:r w:rsidRPr="00417AF0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家</w:t>
            </w:r>
            <w:r w:rsidRPr="00417AF0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語</w:t>
            </w:r>
            <w:r w:rsidRPr="00417AF0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  <w:lang w:val="zh-TW"/>
              </w:rPr>
              <w:t>領袖</w:t>
            </w:r>
            <w:r w:rsidRPr="00417AF0">
              <w:rPr>
                <w:rFonts w:ascii="標楷體" w:eastAsia="標楷體" w:hAnsi="標楷體" w:hint="eastAsia"/>
                <w:szCs w:val="20"/>
              </w:rPr>
              <w:t>（</w:t>
            </w:r>
            <w:proofErr w:type="spellStart"/>
            <w:r w:rsidRPr="00417AF0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liang</w:t>
            </w:r>
            <w:r w:rsidRPr="00417AF0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-</w:t>
            </w:r>
            <w:r w:rsidRPr="00417AF0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ciu</w:t>
            </w:r>
            <w:proofErr w:type="spellEnd"/>
            <w:r w:rsidRPr="00417AF0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 xml:space="preserve"> 或</w:t>
            </w:r>
            <w:proofErr w:type="spellStart"/>
            <w:r w:rsidRPr="00417AF0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liang</w:t>
            </w:r>
            <w:proofErr w:type="spellEnd"/>
            <w:r w:rsidRPr="00417AF0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 xml:space="preserve">- </w:t>
            </w:r>
            <w:proofErr w:type="spellStart"/>
            <w:r w:rsidRPr="00417AF0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q</w:t>
            </w:r>
            <w:r w:rsidRPr="00417AF0">
              <w:rPr>
                <w:rFonts w:ascii="標楷體" w:eastAsia="標楷體" w:hAnsi="標楷體" w:cs="Segoe UI"/>
                <w:szCs w:val="20"/>
                <w:shd w:val="clear" w:color="auto" w:fill="FFFFFF"/>
              </w:rPr>
              <w:t>iu</w:t>
            </w:r>
            <w:proofErr w:type="spellEnd"/>
            <w:r w:rsidRPr="00417AF0">
              <w:rPr>
                <w:rFonts w:ascii="標楷體" w:eastAsia="標楷體" w:hAnsi="標楷體" w:cs="Segoe UI" w:hint="eastAsia"/>
                <w:szCs w:val="20"/>
                <w:shd w:val="clear" w:color="auto" w:fill="FFFFFF"/>
              </w:rPr>
              <w:t>）</w:t>
            </w:r>
          </w:p>
          <w:p w:rsidR="001A0B08" w:rsidRPr="0004097A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英語</w:t>
            </w:r>
            <w:proofErr w:type="gramStart"/>
            <w:r w:rsidRPr="000E03CC">
              <w:rPr>
                <w:rFonts w:ascii="標楷體" w:eastAsia="標楷體" w:hAnsi="標楷體" w:hint="eastAsia"/>
                <w:szCs w:val="20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  <w:szCs w:val="20"/>
                <w:lang w:val="zh-TW"/>
              </w:rPr>
              <w:t>法語</w:t>
            </w:r>
            <w:r w:rsidRPr="00417AF0">
              <w:rPr>
                <w:rFonts w:ascii="標楷體" w:eastAsia="標楷體" w:hAnsi="標楷體" w:hint="eastAsia"/>
                <w:szCs w:val="20"/>
              </w:rPr>
              <w:t>：L</w:t>
            </w:r>
            <w:r w:rsidRPr="00417AF0">
              <w:rPr>
                <w:rFonts w:ascii="標楷體" w:eastAsia="標楷體" w:hAnsi="標楷體" w:cs="Arial"/>
                <w:color w:val="222222"/>
                <w:szCs w:val="20"/>
                <w:shd w:val="clear" w:color="auto" w:fill="F8F9FA"/>
              </w:rPr>
              <w:t>eader</w:t>
            </w:r>
          </w:p>
          <w:p w:rsidR="001A0B08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val="zh-TW"/>
              </w:rPr>
              <w:t>日</w:t>
            </w:r>
            <w:r w:rsidRPr="00AB03DD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語</w:t>
            </w:r>
            <w:r w:rsidRPr="00417AF0">
              <w:rPr>
                <w:rFonts w:ascii="標楷體" w:eastAsia="標楷體" w:hAnsi="標楷體" w:hint="eastAsia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領袖</w:t>
            </w:r>
          </w:p>
          <w:p w:rsidR="001A0B08" w:rsidRPr="0004097A" w:rsidRDefault="001A0B08" w:rsidP="00A92B02">
            <w:pPr>
              <w:shd w:val="clear" w:color="auto" w:fill="FFFFFF"/>
              <w:adjustRightInd w:val="0"/>
              <w:snapToGrid w:val="0"/>
              <w:spacing w:line="288" w:lineRule="atLeas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西班牙語：</w:t>
            </w:r>
            <w:proofErr w:type="spellStart"/>
            <w:r w:rsidRPr="00417AF0">
              <w:rPr>
                <w:rFonts w:ascii="標楷體" w:eastAsia="標楷體" w:hAnsi="標楷體"/>
                <w:szCs w:val="20"/>
              </w:rPr>
              <w:t>líder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即席題：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即席題由評審於現場即興出題，選手於出場前三分鐘親自抽出題目，不可要求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汰</w:t>
            </w:r>
            <w:proofErr w:type="gramEnd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換題目或詳總會金口獎規則。</w:t>
            </w:r>
          </w:p>
        </w:tc>
      </w:tr>
      <w:tr w:rsidR="001A0B08" w:rsidRPr="0004097A" w:rsidTr="00A92B02">
        <w:trPr>
          <w:trHeight w:val="530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配分比率</w:t>
            </w:r>
          </w:p>
        </w:tc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napToGrid w:val="0"/>
              <w:spacing w:line="320" w:lineRule="exact"/>
              <w:ind w:firstLine="1459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配分</w:t>
            </w:r>
            <w:r w:rsidRPr="0004097A">
              <w:rPr>
                <w:rFonts w:ascii="標楷體" w:eastAsia="標楷體" w:hAnsi="標楷體"/>
                <w:szCs w:val="20"/>
              </w:rPr>
              <w:t>100%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napToGrid w:val="0"/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指定題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佔</w:t>
            </w:r>
            <w:proofErr w:type="gramEnd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</w:t>
            </w:r>
            <w:r w:rsidRPr="0004097A">
              <w:rPr>
                <w:rFonts w:ascii="標楷體" w:eastAsia="標楷體" w:hAnsi="標楷體"/>
                <w:szCs w:val="20"/>
              </w:rPr>
              <w:t>50%</w:t>
            </w:r>
          </w:p>
          <w:p w:rsidR="001A0B08" w:rsidRPr="0004097A" w:rsidRDefault="001A0B08" w:rsidP="00A92B02">
            <w:pPr>
              <w:snapToGrid w:val="0"/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即席題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佔</w:t>
            </w:r>
            <w:proofErr w:type="gramEnd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</w:t>
            </w:r>
            <w:r w:rsidRPr="0004097A">
              <w:rPr>
                <w:rFonts w:ascii="標楷體" w:eastAsia="標楷體" w:hAnsi="標楷體"/>
                <w:szCs w:val="20"/>
              </w:rPr>
              <w:t>50%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napToGrid w:val="0"/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指定題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佔</w:t>
            </w:r>
            <w:proofErr w:type="gramEnd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</w:t>
            </w:r>
            <w:r w:rsidRPr="0004097A">
              <w:rPr>
                <w:rFonts w:ascii="標楷體" w:eastAsia="標楷體" w:hAnsi="標楷體"/>
                <w:szCs w:val="20"/>
              </w:rPr>
              <w:t>50%</w:t>
            </w:r>
          </w:p>
          <w:p w:rsidR="001A0B08" w:rsidRPr="0004097A" w:rsidRDefault="001A0B08" w:rsidP="00A92B02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即席題</w:t>
            </w:r>
            <w:proofErr w:type="gramStart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佔</w:t>
            </w:r>
            <w:proofErr w:type="gramEnd"/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</w:t>
            </w:r>
            <w:r w:rsidRPr="0004097A">
              <w:rPr>
                <w:rFonts w:ascii="標楷體" w:eastAsia="標楷體" w:hAnsi="標楷體"/>
                <w:szCs w:val="20"/>
              </w:rPr>
              <w:t>50%</w:t>
            </w:r>
          </w:p>
        </w:tc>
      </w:tr>
      <w:tr w:rsidR="001A0B08" w:rsidRPr="0004097A" w:rsidTr="00A92B02">
        <w:trPr>
          <w:trHeight w:val="158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評分標準</w:t>
            </w:r>
          </w:p>
        </w:tc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演講內容：</w:t>
            </w:r>
            <w:r w:rsidRPr="0004097A">
              <w:rPr>
                <w:rFonts w:ascii="標楷體" w:eastAsia="標楷體" w:hAnsi="標楷體"/>
                <w:szCs w:val="20"/>
              </w:rPr>
              <w:t>40%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（含組織、結構、事理、分析及對社會具有積極正面之鼓舞力量為依歸）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演說技巧：</w:t>
            </w:r>
            <w:r w:rsidRPr="0004097A">
              <w:rPr>
                <w:rFonts w:ascii="標楷體" w:eastAsia="標楷體" w:hAnsi="標楷體"/>
                <w:szCs w:val="20"/>
              </w:rPr>
              <w:t>30%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（含肢體動作、機智反應、道具運用能力）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聲音語調：</w:t>
            </w:r>
            <w:r w:rsidRPr="0004097A">
              <w:rPr>
                <w:rFonts w:ascii="標楷體" w:eastAsia="標楷體" w:hAnsi="標楷體"/>
                <w:szCs w:val="20"/>
              </w:rPr>
              <w:t xml:space="preserve">20% ( 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口齒、語調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台風儀態：</w:t>
            </w:r>
            <w:r w:rsidRPr="0004097A">
              <w:rPr>
                <w:rFonts w:ascii="標楷體" w:eastAsia="標楷體" w:hAnsi="標楷體"/>
                <w:szCs w:val="20"/>
              </w:rPr>
              <w:t>10%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（含儀容風度、舉止、服裝）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 xml:space="preserve">時間控制：採用扣分制 </w:t>
            </w:r>
            <w:r w:rsidRPr="0004097A">
              <w:rPr>
                <w:rFonts w:ascii="標楷體" w:eastAsia="標楷體" w:hAnsi="標楷體"/>
                <w:szCs w:val="20"/>
              </w:rPr>
              <w:t>(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扣分上限：時間控制</w:t>
            </w:r>
            <w:r w:rsidRPr="0004097A">
              <w:rPr>
                <w:rFonts w:ascii="標楷體" w:eastAsia="標楷體" w:hAnsi="標楷體"/>
                <w:szCs w:val="20"/>
              </w:rPr>
              <w:t>5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分</w:t>
            </w:r>
            <w:r w:rsidRPr="0004097A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1A0B08" w:rsidRPr="0004097A" w:rsidTr="00A92B02">
        <w:trPr>
          <w:trHeight w:val="2843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演講時間</w:t>
            </w:r>
          </w:p>
        </w:tc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●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指定題：標準時間『六分鐘』，彈性上下增減三十秒</w:t>
            </w:r>
          </w:p>
          <w:p w:rsidR="001A0B08" w:rsidRPr="0004097A" w:rsidRDefault="001A0B08" w:rsidP="00A92B02">
            <w:pPr>
              <w:spacing w:line="320" w:lineRule="exact"/>
              <w:ind w:left="1740" w:hanging="1454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■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扣分說明：以三十秒為一單位（含三十秒）；不足『五分三十秒』者，每一單位扣一分；</w:t>
            </w:r>
          </w:p>
          <w:p w:rsidR="001A0B08" w:rsidRPr="0004097A" w:rsidRDefault="001A0B08" w:rsidP="00A92B02">
            <w:pPr>
              <w:spacing w:line="320" w:lineRule="exact"/>
              <w:ind w:left="1562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超過『 六分三十秒』者，每一單位扣一分。</w:t>
            </w:r>
          </w:p>
          <w:p w:rsidR="001A0B08" w:rsidRPr="0070001B" w:rsidRDefault="001A0B08" w:rsidP="00A92B02">
            <w:pPr>
              <w:ind w:left="2080" w:hanging="151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70001B">
              <w:rPr>
                <w:rFonts w:ascii="標楷體" w:eastAsia="標楷體" w:hAnsi="標楷體"/>
                <w:szCs w:val="20"/>
              </w:rPr>
              <w:t>(</w:t>
            </w:r>
            <w:proofErr w:type="gramStart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註</w:t>
            </w:r>
            <w:proofErr w:type="gramEnd"/>
            <w:r w:rsidRPr="0070001B">
              <w:rPr>
                <w:rFonts w:ascii="標楷體" w:eastAsia="標楷體" w:hAnsi="標楷體"/>
                <w:szCs w:val="20"/>
              </w:rPr>
              <w:t>:</w:t>
            </w:r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講演者參賽自計時比賽未滿三分鐘，</w:t>
            </w:r>
            <w:proofErr w:type="gramStart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不</w:t>
            </w:r>
            <w:proofErr w:type="gramEnd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列名次。</w:t>
            </w:r>
            <w:r w:rsidRPr="0070001B">
              <w:rPr>
                <w:rFonts w:ascii="標楷體" w:eastAsia="標楷體" w:hAnsi="標楷體"/>
                <w:szCs w:val="20"/>
              </w:rPr>
              <w:t>)</w:t>
            </w:r>
          </w:p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>●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即席題：每人三分鐘，彈性上下增減三十秒</w:t>
            </w:r>
          </w:p>
          <w:p w:rsidR="001A0B08" w:rsidRPr="0004097A" w:rsidRDefault="001A0B08" w:rsidP="00A92B02">
            <w:pPr>
              <w:spacing w:line="320" w:lineRule="exact"/>
              <w:ind w:left="1650" w:hanging="1650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/>
                <w:szCs w:val="20"/>
              </w:rPr>
              <w:t xml:space="preserve">   ■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扣分說明：以三十秒為一單位（含三十秒）；不足『二分三十秒』者，每一單位</w:t>
            </w:r>
          </w:p>
          <w:p w:rsidR="001A0B08" w:rsidRPr="0004097A" w:rsidRDefault="001A0B08" w:rsidP="00A92B02">
            <w:pPr>
              <w:spacing w:line="320" w:lineRule="exact"/>
              <w:ind w:firstLine="1540"/>
              <w:rPr>
                <w:rFonts w:ascii="標楷體" w:eastAsia="標楷體" w:hAnsi="標楷體" w:cs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扣一分超過『三分三十秒』者，每一單位扣一分。</w:t>
            </w:r>
          </w:p>
          <w:p w:rsidR="001A0B08" w:rsidRPr="0070001B" w:rsidRDefault="001A0B08" w:rsidP="00A92B02">
            <w:pPr>
              <w:ind w:left="2080" w:hanging="1510"/>
              <w:jc w:val="both"/>
              <w:rPr>
                <w:rFonts w:ascii="標楷體" w:eastAsia="標楷體" w:hAnsi="標楷體" w:cs="標楷體"/>
                <w:szCs w:val="20"/>
              </w:rPr>
            </w:pPr>
            <w:r w:rsidRPr="0070001B">
              <w:rPr>
                <w:rFonts w:ascii="標楷體" w:eastAsia="標楷體" w:hAnsi="標楷體"/>
                <w:szCs w:val="20"/>
              </w:rPr>
              <w:t>(</w:t>
            </w:r>
            <w:proofErr w:type="gramStart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註</w:t>
            </w:r>
            <w:proofErr w:type="gramEnd"/>
            <w:r w:rsidRPr="0070001B">
              <w:rPr>
                <w:rFonts w:ascii="標楷體" w:eastAsia="標楷體" w:hAnsi="標楷體"/>
                <w:szCs w:val="20"/>
              </w:rPr>
              <w:t>:</w:t>
            </w:r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複賽：主席與評審共同討論可決定出題與否，若無則</w:t>
            </w:r>
            <w:proofErr w:type="gramStart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指定題配分</w:t>
            </w:r>
            <w:proofErr w:type="gramEnd"/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比率</w:t>
            </w:r>
            <w:r w:rsidRPr="0070001B">
              <w:rPr>
                <w:rFonts w:ascii="標楷體" w:eastAsia="標楷體" w:hAnsi="標楷體"/>
                <w:szCs w:val="20"/>
              </w:rPr>
              <w:t>:100%</w:t>
            </w:r>
            <w:r w:rsidRPr="0070001B">
              <w:rPr>
                <w:rFonts w:ascii="標楷體" w:eastAsia="標楷體" w:hAnsi="標楷體" w:hint="eastAsia"/>
                <w:szCs w:val="20"/>
                <w:lang w:val="zh-TW"/>
              </w:rPr>
              <w:t>。</w:t>
            </w:r>
            <w:r w:rsidRPr="0070001B">
              <w:rPr>
                <w:rFonts w:ascii="標楷體" w:eastAsia="標楷體" w:hAnsi="標楷體"/>
                <w:szCs w:val="20"/>
              </w:rPr>
              <w:t>)</w:t>
            </w:r>
          </w:p>
          <w:p w:rsidR="001A0B08" w:rsidRPr="0070001B" w:rsidRDefault="001A0B08" w:rsidP="00A92B02">
            <w:pPr>
              <w:tabs>
                <w:tab w:val="left" w:pos="7755"/>
              </w:tabs>
              <w:ind w:left="2080" w:hanging="110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70001B">
              <w:rPr>
                <w:rFonts w:ascii="標楷體" w:eastAsia="標楷體" w:hAnsi="標楷體"/>
                <w:b/>
                <w:szCs w:val="20"/>
              </w:rPr>
              <w:t>★</w:t>
            </w:r>
            <w:r w:rsidRPr="0070001B">
              <w:rPr>
                <w:rFonts w:ascii="標楷體" w:eastAsia="標楷體" w:hAnsi="標楷體" w:hint="eastAsia"/>
                <w:b/>
                <w:szCs w:val="20"/>
                <w:lang w:val="zh-TW"/>
              </w:rPr>
              <w:t>參賽選手經唱名三次未到達比賽演出現場，視同棄權不得異議</w:t>
            </w:r>
            <w:r w:rsidRPr="0070001B">
              <w:rPr>
                <w:rFonts w:ascii="標楷體" w:eastAsia="標楷體" w:hAnsi="標楷體"/>
                <w:b/>
                <w:szCs w:val="20"/>
              </w:rPr>
              <w:t>★</w:t>
            </w:r>
          </w:p>
        </w:tc>
      </w:tr>
      <w:tr w:rsidR="001A0B08" w:rsidRPr="0004097A" w:rsidTr="00A92B02">
        <w:trPr>
          <w:trHeight w:val="947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優勝獎勵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優勝者由分會長頒獎表揚並代表分會參加初賽。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前三名由總會理事於聯合月例會上公開頒獎表揚。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szCs w:val="20"/>
                <w:lang w:val="zh-TW"/>
              </w:rPr>
              <w:t>前五名選手入圍決賽。</w:t>
            </w:r>
          </w:p>
          <w:p w:rsidR="001A0B08" w:rsidRPr="0004097A" w:rsidRDefault="001A0B08" w:rsidP="00A92B02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前三名優勝者於區大會，由副總會長頒奬表揚</w:t>
            </w:r>
            <w:r>
              <w:rPr>
                <w:rFonts w:ascii="標楷體" w:eastAsia="標楷體" w:hAnsi="標楷體" w:hint="eastAsia"/>
                <w:szCs w:val="20"/>
                <w:lang w:val="zh-TW"/>
              </w:rPr>
              <w:t>。</w:t>
            </w: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2950BA" w:rsidRDefault="001A0B08" w:rsidP="00A92B0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Cs w:val="20"/>
                <w:lang w:val="zh-TW"/>
              </w:rPr>
              <w:t>該組參賽者達十五名以上，取其</w:t>
            </w:r>
            <w:r w:rsidRPr="002950BA">
              <w:rPr>
                <w:rFonts w:ascii="標楷體" w:eastAsia="標楷體" w:hAnsi="標楷體" w:hint="eastAsia"/>
                <w:color w:val="FF0000"/>
                <w:szCs w:val="20"/>
                <w:lang w:val="zh-TW"/>
              </w:rPr>
              <w:t>前五名</w:t>
            </w:r>
            <w:r>
              <w:rPr>
                <w:rFonts w:ascii="標楷體" w:eastAsia="標楷體" w:hAnsi="標楷體" w:hint="eastAsia"/>
                <w:color w:val="FF0000"/>
                <w:szCs w:val="20"/>
                <w:lang w:val="zh-TW"/>
              </w:rPr>
              <w:t>；不足十五名者，取其前三</w:t>
            </w:r>
            <w:r w:rsidRPr="002950BA">
              <w:rPr>
                <w:rFonts w:ascii="標楷體" w:eastAsia="標楷體" w:hAnsi="標楷體" w:hint="eastAsia"/>
                <w:color w:val="FF0000"/>
                <w:szCs w:val="20"/>
                <w:lang w:val="zh-TW"/>
              </w:rPr>
              <w:t>，於全國年會由總會長頒獎。</w:t>
            </w:r>
            <w:r w:rsidRPr="002950BA">
              <w:rPr>
                <w:rFonts w:ascii="標楷體" w:eastAsia="標楷體" w:hAnsi="標楷體"/>
                <w:color w:val="FF0000"/>
                <w:szCs w:val="20"/>
              </w:rPr>
              <w:t xml:space="preserve"> </w:t>
            </w:r>
          </w:p>
        </w:tc>
      </w:tr>
      <w:tr w:rsidR="001A0B08" w:rsidRPr="0004097A" w:rsidTr="00A92B02">
        <w:trPr>
          <w:trHeight w:val="392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比賽時間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由各分會自行舉辦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70001B" w:rsidRDefault="001A0B08" w:rsidP="00A92B02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0001B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依各區聯合月例會辦理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於各區區域大會中辦理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70001B" w:rsidRDefault="001A0B08" w:rsidP="00A92B02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70001B">
              <w:rPr>
                <w:rFonts w:ascii="標楷體" w:eastAsia="標楷體" w:hAnsi="標楷體" w:hint="eastAsia"/>
                <w:szCs w:val="20"/>
              </w:rPr>
              <w:t>於全國年會中辦理</w:t>
            </w:r>
          </w:p>
        </w:tc>
      </w:tr>
      <w:tr w:rsidR="001A0B08" w:rsidRPr="0004097A" w:rsidTr="00A92B02">
        <w:trPr>
          <w:trHeight w:val="400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承辦單位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04097A">
              <w:rPr>
                <w:rFonts w:ascii="標楷體" w:eastAsia="標楷體" w:hAnsi="標楷體" w:hint="eastAsia"/>
                <w:szCs w:val="20"/>
                <w:lang w:val="zh-TW"/>
              </w:rPr>
              <w:t>各分會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由各區分會長會議決定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70001B" w:rsidRDefault="001A0B08" w:rsidP="00A92B02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0001B">
              <w:rPr>
                <w:rFonts w:ascii="標楷體" w:eastAsia="標楷體" w:hAnsi="標楷體" w:hint="eastAsia"/>
                <w:sz w:val="18"/>
                <w:szCs w:val="18"/>
              </w:rPr>
              <w:t>總會長</w:t>
            </w:r>
            <w:proofErr w:type="gramStart"/>
            <w:r w:rsidRPr="0070001B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70001B">
              <w:rPr>
                <w:rFonts w:ascii="標楷體" w:eastAsia="標楷體" w:hAnsi="標楷體" w:hint="eastAsia"/>
                <w:sz w:val="18"/>
                <w:szCs w:val="18"/>
              </w:rPr>
              <w:t>國語組冠軍所屬分會取得次年度承辦權</w:t>
            </w:r>
          </w:p>
        </w:tc>
      </w:tr>
      <w:tr w:rsidR="001A0B08" w:rsidRPr="0004097A" w:rsidTr="00A92B02">
        <w:trPr>
          <w:trHeight w:val="613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4097A" w:rsidRDefault="001A0B08" w:rsidP="00A92B02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備註</w:t>
            </w:r>
          </w:p>
        </w:tc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Pr="000E03CC" w:rsidRDefault="001A0B08" w:rsidP="001A0B08">
            <w:pPr>
              <w:pStyle w:val="a4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default"/>
                <w:szCs w:val="20"/>
              </w:rPr>
            </w:pPr>
            <w:r>
              <w:rPr>
                <w:rFonts w:ascii="標楷體" w:eastAsia="標楷體" w:hAnsi="標楷體"/>
                <w:szCs w:val="20"/>
                <w:lang w:val="zh-TW"/>
              </w:rPr>
              <w:t>各級賽事</w:t>
            </w:r>
            <w:r w:rsidRPr="000E03CC">
              <w:rPr>
                <w:rFonts w:ascii="標楷體" w:eastAsia="標楷體" w:hAnsi="標楷體"/>
                <w:szCs w:val="20"/>
                <w:lang w:val="zh-TW"/>
              </w:rPr>
              <w:t>報名費上限：總會理事</w:t>
            </w:r>
            <w:proofErr w:type="gramStart"/>
            <w:r w:rsidRPr="000E03CC">
              <w:rPr>
                <w:rFonts w:ascii="標楷體" w:eastAsia="標楷體" w:hAnsi="標楷體"/>
                <w:szCs w:val="20"/>
                <w:lang w:val="zh-TW"/>
              </w:rPr>
              <w:t>盃</w:t>
            </w:r>
            <w:proofErr w:type="gramEnd"/>
            <w:r w:rsidRPr="000E03CC">
              <w:rPr>
                <w:rFonts w:ascii="標楷體" w:eastAsia="標楷體" w:hAnsi="標楷體"/>
                <w:szCs w:val="20"/>
              </w:rPr>
              <w:t>1000</w:t>
            </w:r>
            <w:r w:rsidRPr="000E03CC">
              <w:rPr>
                <w:rFonts w:ascii="標楷體" w:eastAsia="標楷體" w:hAnsi="標楷體"/>
                <w:szCs w:val="20"/>
                <w:lang w:val="zh-TW"/>
              </w:rPr>
              <w:t>元、副總會長</w:t>
            </w:r>
            <w:proofErr w:type="gramStart"/>
            <w:r w:rsidRPr="000E03CC">
              <w:rPr>
                <w:rFonts w:ascii="標楷體" w:eastAsia="標楷體" w:hAnsi="標楷體"/>
                <w:szCs w:val="20"/>
                <w:lang w:val="zh-TW"/>
              </w:rPr>
              <w:t>盃</w:t>
            </w:r>
            <w:proofErr w:type="gramEnd"/>
            <w:r w:rsidRPr="000E03CC">
              <w:rPr>
                <w:rFonts w:ascii="標楷體" w:eastAsia="標楷體" w:hAnsi="標楷體"/>
                <w:szCs w:val="20"/>
              </w:rPr>
              <w:t>1200</w:t>
            </w:r>
            <w:r w:rsidRPr="000E03CC">
              <w:rPr>
                <w:rFonts w:ascii="標楷體" w:eastAsia="標楷體" w:hAnsi="標楷體"/>
                <w:szCs w:val="20"/>
                <w:lang w:val="zh-TW"/>
              </w:rPr>
              <w:t>元、總會長</w:t>
            </w:r>
            <w:proofErr w:type="gramStart"/>
            <w:r w:rsidRPr="000E03CC">
              <w:rPr>
                <w:rFonts w:ascii="標楷體" w:eastAsia="標楷體" w:hAnsi="標楷體"/>
                <w:szCs w:val="20"/>
                <w:lang w:val="zh-TW"/>
              </w:rPr>
              <w:t>盃</w:t>
            </w:r>
            <w:proofErr w:type="gramEnd"/>
            <w:r w:rsidRPr="000E03CC">
              <w:rPr>
                <w:rFonts w:ascii="標楷體" w:eastAsia="標楷體" w:hAnsi="標楷體"/>
                <w:szCs w:val="20"/>
              </w:rPr>
              <w:t>1500</w:t>
            </w:r>
            <w:r w:rsidRPr="000E03CC">
              <w:rPr>
                <w:rFonts w:ascii="標楷體" w:eastAsia="標楷體" w:hAnsi="標楷體"/>
                <w:szCs w:val="20"/>
                <w:lang w:val="zh-TW"/>
              </w:rPr>
              <w:t>元。</w:t>
            </w:r>
          </w:p>
          <w:p w:rsidR="001A0B08" w:rsidRPr="002950BA" w:rsidRDefault="001A0B08" w:rsidP="001A0B08">
            <w:pPr>
              <w:pStyle w:val="a4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hint="default"/>
                <w:color w:val="FF0000"/>
                <w:szCs w:val="20"/>
              </w:rPr>
            </w:pPr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總會長</w:t>
            </w:r>
            <w:proofErr w:type="gramStart"/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盃</w:t>
            </w:r>
            <w:proofErr w:type="gramEnd"/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須於比賽日前14天完成提早報名（包含繳費），若未於期限內完成而仍報名者，須比提早報名者多收1000元事務處理費用。</w:t>
            </w:r>
            <w:proofErr w:type="gramStart"/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（</w:t>
            </w:r>
            <w:proofErr w:type="gramEnd"/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以上金額單位皆為：新台幣</w:t>
            </w:r>
            <w:proofErr w:type="gramStart"/>
            <w:r w:rsidRPr="002950BA">
              <w:rPr>
                <w:rFonts w:ascii="標楷體" w:eastAsia="標楷體" w:hAnsi="標楷體"/>
                <w:color w:val="FF0000"/>
                <w:szCs w:val="20"/>
                <w:lang w:val="zh-TW"/>
              </w:rPr>
              <w:t>）</w:t>
            </w:r>
            <w:proofErr w:type="gramEnd"/>
          </w:p>
        </w:tc>
      </w:tr>
      <w:tr w:rsidR="001A0B08" w:rsidRPr="0004097A" w:rsidTr="00A92B02">
        <w:trPr>
          <w:trHeight w:val="613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Default="001A0B08" w:rsidP="00A92B02">
            <w:pPr>
              <w:spacing w:line="3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注意事項</w:t>
            </w:r>
          </w:p>
        </w:tc>
        <w:tc>
          <w:tcPr>
            <w:tcW w:w="9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1、評審部份：初賽：由承辦單位逕行聘任；評審團主席由金口獎委員會協調指派。</w:t>
            </w:r>
          </w:p>
          <w:p w:rsidR="001A0B08" w:rsidRDefault="001A0B08" w:rsidP="001A0B08">
            <w:pPr>
              <w:spacing w:line="300" w:lineRule="exact"/>
              <w:ind w:leftChars="178" w:left="427" w:firstLineChars="472" w:firstLine="94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複賽與決賽：評審團主席及評審由金口獎委員會協調指派。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2、各區可推薦選手參加副總會長</w:t>
            </w:r>
            <w:proofErr w:type="gramStart"/>
            <w:r w:rsidRPr="00776B1F">
              <w:rPr>
                <w:rFonts w:ascii="標楷體" w:eastAsia="標楷體" w:hAnsi="標楷體"/>
              </w:rPr>
              <w:t>盃</w:t>
            </w:r>
            <w:proofErr w:type="gramEnd"/>
            <w:r w:rsidRPr="00776B1F">
              <w:rPr>
                <w:rFonts w:ascii="標楷體" w:eastAsia="標楷體" w:hAnsi="標楷體"/>
              </w:rPr>
              <w:t>，但推薦的選手需參加過歷屆總會長</w:t>
            </w:r>
            <w:proofErr w:type="gramStart"/>
            <w:r w:rsidRPr="00776B1F">
              <w:rPr>
                <w:rFonts w:ascii="標楷體" w:eastAsia="標楷體" w:hAnsi="標楷體"/>
              </w:rPr>
              <w:t>盃</w:t>
            </w:r>
            <w:proofErr w:type="gramEnd"/>
            <w:r w:rsidRPr="00776B1F">
              <w:rPr>
                <w:rFonts w:ascii="標楷體" w:eastAsia="標楷體" w:hAnsi="標楷體"/>
              </w:rPr>
              <w:t>之前五名選手且 不含年度冠軍 ( 限 10</w:t>
            </w:r>
            <w:r>
              <w:rPr>
                <w:rFonts w:ascii="標楷體" w:eastAsia="標楷體" w:hAnsi="標楷體" w:hint="eastAsia"/>
              </w:rPr>
              <w:t>6</w:t>
            </w:r>
            <w:r w:rsidRPr="00776B1F">
              <w:rPr>
                <w:rFonts w:ascii="標楷體" w:eastAsia="標楷體" w:hAnsi="標楷體"/>
              </w:rPr>
              <w:t>,10</w:t>
            </w:r>
            <w:r>
              <w:rPr>
                <w:rFonts w:ascii="標楷體" w:eastAsia="標楷體" w:hAnsi="標楷體" w:hint="eastAsia"/>
              </w:rPr>
              <w:t>7</w:t>
            </w:r>
            <w:r w:rsidRPr="00776B1F">
              <w:rPr>
                <w:rFonts w:ascii="標楷體" w:eastAsia="標楷體" w:hAnsi="標楷體"/>
              </w:rPr>
              <w:t>,10</w:t>
            </w:r>
            <w:r>
              <w:rPr>
                <w:rFonts w:ascii="標楷體" w:eastAsia="標楷體" w:hAnsi="標楷體" w:hint="eastAsia"/>
              </w:rPr>
              <w:t>8</w:t>
            </w:r>
            <w:r w:rsidRPr="00776B1F">
              <w:rPr>
                <w:rFonts w:ascii="標楷體" w:eastAsia="標楷體" w:hAnsi="標楷體"/>
              </w:rPr>
              <w:t xml:space="preserve"> 年度 )為種子選手者方有資格；並</w:t>
            </w:r>
            <w:proofErr w:type="gramStart"/>
            <w:r w:rsidRPr="00776B1F">
              <w:rPr>
                <w:rFonts w:ascii="標楷體" w:eastAsia="標楷體" w:hAnsi="標楷體"/>
              </w:rPr>
              <w:t>不得跨語組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別。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 xml:space="preserve">3、複賽若有語組參賽人數達 16(含)-20 </w:t>
            </w:r>
            <w:proofErr w:type="gramStart"/>
            <w:r w:rsidRPr="00776B1F">
              <w:rPr>
                <w:rFonts w:ascii="標楷體" w:eastAsia="標楷體" w:hAnsi="標楷體"/>
              </w:rPr>
              <w:t>人次，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則可再新增第六名選手晉級決賽，若達 21(含)-25 人則可 再新增第七名選手晉級決賽，以此類推。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4、</w:t>
            </w:r>
            <w:proofErr w:type="gramStart"/>
            <w:r w:rsidRPr="00776B1F">
              <w:rPr>
                <w:rFonts w:ascii="標楷體" w:eastAsia="標楷體" w:hAnsi="標楷體"/>
              </w:rPr>
              <w:t>各語別組</w:t>
            </w:r>
            <w:proofErr w:type="gramEnd"/>
            <w:r w:rsidRPr="00776B1F">
              <w:rPr>
                <w:rFonts w:ascii="標楷體" w:eastAsia="標楷體" w:hAnsi="標楷體"/>
              </w:rPr>
              <w:t>報名人數未達三人以上則改</w:t>
            </w:r>
            <w:proofErr w:type="gramStart"/>
            <w:r w:rsidRPr="00776B1F">
              <w:rPr>
                <w:rFonts w:ascii="標楷體" w:eastAsia="標楷體" w:hAnsi="標楷體"/>
              </w:rPr>
              <w:t>採</w:t>
            </w:r>
            <w:proofErr w:type="gramEnd"/>
            <w:r w:rsidRPr="00776B1F">
              <w:rPr>
                <w:rFonts w:ascii="標楷體" w:eastAsia="標楷體" w:hAnsi="標楷體"/>
              </w:rPr>
              <w:t>表演賽方式舉辦</w:t>
            </w:r>
            <w:proofErr w:type="gramStart"/>
            <w:r w:rsidRPr="00776B1F">
              <w:rPr>
                <w:rFonts w:ascii="標楷體" w:eastAsia="標楷體" w:hAnsi="標楷體"/>
              </w:rPr>
              <w:t>不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列名次，限獎勵為獎牌一面。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5、社會人士的定義 : 年齡滿十八歲以上，不包含學生之在職之社會青年。</w:t>
            </w:r>
          </w:p>
          <w:p w:rsidR="001A0B08" w:rsidRDefault="001A0B08" w:rsidP="001A0B08">
            <w:pPr>
              <w:spacing w:line="300" w:lineRule="exact"/>
              <w:ind w:leftChars="119" w:left="402" w:hangingChars="58" w:hanging="116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 xml:space="preserve"> ( </w:t>
            </w:r>
            <w:proofErr w:type="gramStart"/>
            <w:r w:rsidRPr="00776B1F">
              <w:rPr>
                <w:rFonts w:ascii="標楷體" w:eastAsia="標楷體" w:hAnsi="標楷體"/>
              </w:rPr>
              <w:t>註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: 青商見習會友為青商組，惟如果在比賽期間喪失會籍，即喪失比賽資格。)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6、比賽地點建議承辦單位</w:t>
            </w:r>
            <w:r>
              <w:rPr>
                <w:rFonts w:ascii="標楷體" w:eastAsia="標楷體" w:hAnsi="標楷體" w:hint="eastAsia"/>
              </w:rPr>
              <w:t>優先</w:t>
            </w:r>
            <w:r w:rsidRPr="00776B1F">
              <w:rPr>
                <w:rFonts w:ascii="標楷體" w:eastAsia="標楷體" w:hAnsi="標楷體"/>
              </w:rPr>
              <w:t xml:space="preserve">選擇室內場所。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776B1F">
              <w:rPr>
                <w:rFonts w:ascii="標楷體" w:eastAsia="標楷體" w:hAnsi="標楷體"/>
              </w:rPr>
              <w:t xml:space="preserve">、各階段比賽報名費由金口獎委員會另行訂定公告建議收費標準(不含預賽)。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76B1F">
              <w:rPr>
                <w:rFonts w:ascii="標楷體" w:eastAsia="標楷體" w:hAnsi="標楷體"/>
              </w:rPr>
              <w:t>、演出空間以講台正中心為定點，詳金口獎總會比賽規則。 ( 擔任主席者必須再次說明</w:t>
            </w:r>
            <w:proofErr w:type="gramStart"/>
            <w:r w:rsidRPr="00776B1F">
              <w:rPr>
                <w:rFonts w:ascii="標楷體" w:eastAsia="標楷體" w:hAnsi="標楷體"/>
              </w:rPr>
              <w:t>比賽評分比賽評分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標準施行辦法應注意的事項。)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776B1F">
              <w:rPr>
                <w:rFonts w:ascii="標楷體" w:eastAsia="標楷體" w:hAnsi="標楷體"/>
              </w:rPr>
              <w:t>、參賽者不需製作題目海報，意即題目海報</w:t>
            </w:r>
            <w:proofErr w:type="gramStart"/>
            <w:r w:rsidRPr="00776B1F">
              <w:rPr>
                <w:rFonts w:ascii="標楷體" w:eastAsia="標楷體" w:hAnsi="標楷體"/>
              </w:rPr>
              <w:t>不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視同為道具，不予加分。道具運用不當，評審得酌情扣分。 </w:t>
            </w:r>
          </w:p>
          <w:p w:rsidR="001A0B08" w:rsidRDefault="001A0B08" w:rsidP="001A0B08">
            <w:pPr>
              <w:spacing w:line="300" w:lineRule="exact"/>
              <w:ind w:leftChars="1" w:left="356" w:hangingChars="177" w:hanging="354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776B1F">
              <w:rPr>
                <w:rFonts w:ascii="標楷體" w:eastAsia="標楷體" w:hAnsi="標楷體"/>
              </w:rPr>
              <w:t xml:space="preserve">、主席及評審費用: </w:t>
            </w:r>
          </w:p>
          <w:p w:rsidR="001A0B08" w:rsidRDefault="001A0B08" w:rsidP="00A92B02">
            <w:pPr>
              <w:spacing w:line="300" w:lineRule="exact"/>
              <w:ind w:leftChars="178" w:left="427" w:firstLine="1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一、 出席以每小時 300 元為單位，且</w:t>
            </w:r>
            <w:r>
              <w:rPr>
                <w:rFonts w:ascii="標楷體" w:eastAsia="標楷體" w:hAnsi="標楷體" w:hint="eastAsia"/>
              </w:rPr>
              <w:t>不得少於</w:t>
            </w:r>
            <w:r w:rsidRPr="00776B1F">
              <w:rPr>
                <w:rFonts w:ascii="標楷體" w:eastAsia="標楷體" w:hAnsi="標楷體"/>
              </w:rPr>
              <w:t xml:space="preserve"> 900 元(不含用餐時間)。 </w:t>
            </w: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  <w:r w:rsidRPr="00776B1F">
              <w:rPr>
                <w:rFonts w:ascii="標楷體" w:eastAsia="標楷體" w:hAnsi="標楷體"/>
              </w:rPr>
              <w:t>二、 若主席同時兼任評審費用以每小時 400 元為單位，且</w:t>
            </w:r>
            <w:r>
              <w:rPr>
                <w:rFonts w:ascii="標楷體" w:eastAsia="標楷體" w:hAnsi="標楷體" w:hint="eastAsia"/>
              </w:rPr>
              <w:t>不得少於</w:t>
            </w:r>
            <w:r w:rsidRPr="00776B1F">
              <w:rPr>
                <w:rFonts w:ascii="標楷體" w:eastAsia="標楷體" w:hAnsi="標楷體"/>
              </w:rPr>
              <w:t xml:space="preserve"> 1,200 元(不含用餐時間)。 </w:t>
            </w: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776B1F">
              <w:rPr>
                <w:rFonts w:ascii="標楷體" w:eastAsia="標楷體" w:hAnsi="標楷體"/>
              </w:rPr>
              <w:t>、建議承辦分會邀請評審以各區評審為優先，如須邀請跨區評審由各承辦分會</w:t>
            </w:r>
            <w:proofErr w:type="gramStart"/>
            <w:r w:rsidRPr="00776B1F">
              <w:rPr>
                <w:rFonts w:ascii="標楷體" w:eastAsia="標楷體" w:hAnsi="標楷體"/>
              </w:rPr>
              <w:t>提撥</w:t>
            </w:r>
            <w:proofErr w:type="gramEnd"/>
            <w:r w:rsidRPr="00776B1F">
              <w:rPr>
                <w:rFonts w:ascii="標楷體" w:eastAsia="標楷體" w:hAnsi="標楷體"/>
              </w:rPr>
              <w:t xml:space="preserve">跨區車 </w:t>
            </w:r>
            <w:proofErr w:type="gramStart"/>
            <w:r w:rsidRPr="00776B1F">
              <w:rPr>
                <w:rFonts w:ascii="標楷體" w:eastAsia="標楷體" w:hAnsi="標楷體"/>
              </w:rPr>
              <w:t>馬費</w:t>
            </w:r>
            <w:proofErr w:type="gramEnd"/>
            <w:r w:rsidRPr="00776B1F">
              <w:rPr>
                <w:rFonts w:ascii="標楷體" w:eastAsia="標楷體" w:hAnsi="標楷體"/>
              </w:rPr>
              <w:t>，以北、中、南、東為劃分區，跨區=</w:t>
            </w:r>
            <w:proofErr w:type="gramStart"/>
            <w:r w:rsidRPr="00776B1F">
              <w:rPr>
                <w:rFonts w:ascii="標楷體" w:eastAsia="標楷體" w:hAnsi="標楷體"/>
              </w:rPr>
              <w:t>每跨</w:t>
            </w:r>
            <w:proofErr w:type="gramEnd"/>
            <w:r w:rsidRPr="00776B1F">
              <w:rPr>
                <w:rFonts w:ascii="標楷體" w:eastAsia="標楷體" w:hAnsi="標楷體"/>
              </w:rPr>
              <w:t>一區補助 600 元車馬費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776B1F">
              <w:rPr>
                <w:rFonts w:ascii="標楷體" w:eastAsia="標楷體" w:hAnsi="標楷體"/>
              </w:rPr>
              <w:t>桃園、新竹歸為北區；苗栗歸為中區。東區因交通問題皆以跨 3 區計算車馬費</w:t>
            </w: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五、以上計費</w:t>
            </w:r>
            <w:r w:rsidRPr="00776B1F">
              <w:rPr>
                <w:rFonts w:ascii="標楷體" w:eastAsia="標楷體" w:hAnsi="標楷體"/>
              </w:rPr>
              <w:t>以</w:t>
            </w:r>
            <w:r>
              <w:rPr>
                <w:rFonts w:ascii="標楷體" w:eastAsia="標楷體" w:hAnsi="標楷體" w:hint="eastAsia"/>
              </w:rPr>
              <w:t>評審</w:t>
            </w:r>
            <w:r w:rsidRPr="00776B1F">
              <w:rPr>
                <w:rFonts w:ascii="標楷體" w:eastAsia="標楷體" w:hAnsi="標楷體"/>
              </w:rPr>
              <w:t>所屬分會為主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</w:p>
          <w:p w:rsidR="001A0B08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車馬費試算表：</w:t>
            </w:r>
          </w:p>
          <w:tbl>
            <w:tblPr>
              <w:tblStyle w:val="a3"/>
              <w:tblW w:w="0" w:type="auto"/>
              <w:jc w:val="center"/>
              <w:tblInd w:w="279" w:type="dxa"/>
              <w:tblLayout w:type="fixed"/>
              <w:tblLook w:val="04A0"/>
            </w:tblPr>
            <w:tblGrid>
              <w:gridCol w:w="1700"/>
              <w:gridCol w:w="1701"/>
              <w:gridCol w:w="1700"/>
              <w:gridCol w:w="1701"/>
              <w:gridCol w:w="1701"/>
            </w:tblGrid>
            <w:tr w:rsidR="001A0B08" w:rsidTr="00A92B02">
              <w:trPr>
                <w:trHeight w:val="398"/>
                <w:jc w:val="center"/>
              </w:trPr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北區</w:t>
                  </w:r>
                </w:p>
              </w:tc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南區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東區</w:t>
                  </w:r>
                </w:p>
              </w:tc>
            </w:tr>
            <w:tr w:rsidR="001A0B08" w:rsidTr="00A92B02">
              <w:trPr>
                <w:trHeight w:val="398"/>
                <w:jc w:val="center"/>
              </w:trPr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北區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</w:tr>
            <w:tr w:rsidR="001A0B08" w:rsidTr="00A92B02">
              <w:trPr>
                <w:trHeight w:val="398"/>
                <w:jc w:val="center"/>
              </w:trPr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</w:t>
                  </w:r>
                </w:p>
              </w:tc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</w:tr>
            <w:tr w:rsidR="001A0B08" w:rsidTr="00A92B02">
              <w:trPr>
                <w:trHeight w:val="398"/>
                <w:jc w:val="center"/>
              </w:trPr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南區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1200</w:t>
                  </w:r>
                </w:p>
              </w:tc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</w:tr>
            <w:tr w:rsidR="001A0B08" w:rsidTr="00A92B02">
              <w:trPr>
                <w:trHeight w:val="398"/>
                <w:jc w:val="center"/>
              </w:trPr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東區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  <w:tc>
                <w:tcPr>
                  <w:tcW w:w="1700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1800</w:t>
                  </w:r>
                </w:p>
              </w:tc>
              <w:tc>
                <w:tcPr>
                  <w:tcW w:w="1701" w:type="dxa"/>
                </w:tcPr>
                <w:p w:rsidR="001A0B08" w:rsidRDefault="001A0B08" w:rsidP="00A92B0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</w:tbl>
          <w:p w:rsidR="001A0B08" w:rsidRPr="00D661AF" w:rsidRDefault="001A0B08" w:rsidP="00A92B02">
            <w:pPr>
              <w:spacing w:line="300" w:lineRule="exact"/>
              <w:ind w:leftChars="178" w:left="994" w:hanging="567"/>
              <w:rPr>
                <w:rFonts w:ascii="標楷體" w:eastAsia="標楷體" w:hAnsi="標楷體"/>
              </w:rPr>
            </w:pPr>
          </w:p>
          <w:p w:rsidR="001A0B08" w:rsidRPr="00D661AF" w:rsidRDefault="001A0B08" w:rsidP="00A92B02">
            <w:pPr>
              <w:spacing w:line="300" w:lineRule="exact"/>
              <w:ind w:left="1279" w:rightChars="287" w:right="689" w:hanging="851"/>
              <w:rPr>
                <w:rFonts w:ascii="標楷體" w:eastAsia="標楷體" w:hAnsi="標楷體"/>
              </w:rPr>
            </w:pPr>
            <w:r w:rsidRPr="00D661AF">
              <w:rPr>
                <w:rFonts w:ascii="標楷體" w:eastAsia="標楷體" w:hAnsi="標楷體" w:cs="新細明體" w:hint="eastAsia"/>
              </w:rPr>
              <w:t>※</w:t>
            </w:r>
            <w:r w:rsidRPr="00D661AF">
              <w:rPr>
                <w:rFonts w:ascii="標楷體" w:eastAsia="標楷體" w:hAnsi="標楷體"/>
              </w:rPr>
              <w:t>北區=宜蘭縣(市)、台北市、新北市、桃園區、新竹縣(市)</w:t>
            </w:r>
          </w:p>
          <w:p w:rsidR="001A0B08" w:rsidRPr="00D661AF" w:rsidRDefault="001A0B08" w:rsidP="00A92B02">
            <w:pPr>
              <w:spacing w:line="300" w:lineRule="exact"/>
              <w:ind w:left="1279" w:rightChars="287" w:right="689" w:hanging="851"/>
              <w:rPr>
                <w:rFonts w:ascii="標楷體" w:eastAsia="標楷體" w:hAnsi="標楷體"/>
              </w:rPr>
            </w:pPr>
            <w:r w:rsidRPr="00D661AF">
              <w:rPr>
                <w:rFonts w:ascii="標楷體" w:eastAsia="標楷體" w:hAnsi="標楷體" w:cs="新細明體" w:hint="eastAsia"/>
              </w:rPr>
              <w:t>※</w:t>
            </w:r>
            <w:r w:rsidRPr="00D661AF">
              <w:rPr>
                <w:rFonts w:ascii="標楷體" w:eastAsia="標楷體" w:hAnsi="標楷體"/>
              </w:rPr>
              <w:t>中區=苗栗縣(市)、台中縣(市)、彰化縣(市)、南投縣(市)</w:t>
            </w:r>
          </w:p>
          <w:p w:rsidR="001A0B08" w:rsidRPr="00D661AF" w:rsidRDefault="001A0B08" w:rsidP="00A92B02">
            <w:pPr>
              <w:spacing w:line="300" w:lineRule="exact"/>
              <w:ind w:left="1279" w:rightChars="287" w:right="689" w:hanging="851"/>
              <w:rPr>
                <w:rFonts w:ascii="標楷體" w:eastAsia="標楷體" w:hAnsi="標楷體"/>
              </w:rPr>
            </w:pPr>
            <w:r w:rsidRPr="00D661AF">
              <w:rPr>
                <w:rFonts w:ascii="標楷體" w:eastAsia="標楷體" w:hAnsi="標楷體" w:cs="新細明體" w:hint="eastAsia"/>
              </w:rPr>
              <w:t>※</w:t>
            </w:r>
            <w:r w:rsidRPr="00D661AF">
              <w:rPr>
                <w:rFonts w:ascii="標楷體" w:eastAsia="標楷體" w:hAnsi="標楷體"/>
              </w:rPr>
              <w:t>南區=雲林縣(市)、嘉義縣(市)、台南縣(市)、高雄縣(市)、屏東縣(市)、金門縣(市)、澎湖縣(市)</w:t>
            </w:r>
          </w:p>
          <w:p w:rsidR="001A0B08" w:rsidRDefault="001A0B08" w:rsidP="00A92B02">
            <w:pPr>
              <w:spacing w:line="300" w:lineRule="exact"/>
              <w:ind w:left="1279" w:rightChars="287" w:right="689" w:hanging="851"/>
              <w:rPr>
                <w:rFonts w:ascii="標楷體" w:eastAsia="標楷體" w:hAnsi="標楷體"/>
              </w:rPr>
            </w:pPr>
            <w:r w:rsidRPr="00D661AF">
              <w:rPr>
                <w:rFonts w:ascii="標楷體" w:eastAsia="標楷體" w:hAnsi="標楷體" w:cs="新細明體" w:hint="eastAsia"/>
              </w:rPr>
              <w:t>※</w:t>
            </w:r>
            <w:r w:rsidRPr="00D661AF">
              <w:rPr>
                <w:rFonts w:ascii="標楷體" w:eastAsia="標楷體" w:hAnsi="標楷體"/>
              </w:rPr>
              <w:t>東區=花蓮縣(市)、台東縣(市)</w:t>
            </w:r>
          </w:p>
          <w:p w:rsidR="001A0B08" w:rsidRDefault="001A0B08" w:rsidP="00A92B02">
            <w:pPr>
              <w:spacing w:line="300" w:lineRule="exact"/>
              <w:ind w:left="1279" w:rightChars="287" w:right="689" w:hanging="851"/>
              <w:rPr>
                <w:rFonts w:ascii="標楷體" w:eastAsia="標楷體" w:hAnsi="標楷體"/>
              </w:rPr>
            </w:pPr>
          </w:p>
          <w:p w:rsidR="001A0B08" w:rsidRDefault="001A0B08" w:rsidP="00A92B02">
            <w:pPr>
              <w:tabs>
                <w:tab w:val="left" w:pos="8933"/>
              </w:tabs>
              <w:spacing w:line="300" w:lineRule="exact"/>
              <w:ind w:left="3" w:rightChars="110" w:right="264"/>
              <w:rPr>
                <w:rFonts w:ascii="標楷體" w:eastAsia="標楷體" w:hAnsi="標楷體"/>
              </w:rPr>
            </w:pPr>
            <w:r w:rsidRPr="00D661A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D661AF">
              <w:rPr>
                <w:rFonts w:ascii="標楷體" w:eastAsia="標楷體" w:hAnsi="標楷體"/>
              </w:rPr>
              <w:t>、其它未盡事宜，由各階段比賽籌備會議及金口獎委員會裁決</w:t>
            </w:r>
            <w:r>
              <w:rPr>
                <w:rFonts w:ascii="標楷體" w:eastAsia="標楷體" w:hAnsi="標楷體" w:hint="eastAsia"/>
              </w:rPr>
              <w:t>，</w:t>
            </w:r>
            <w:r w:rsidRPr="00D661AF">
              <w:rPr>
                <w:rFonts w:ascii="標楷體" w:eastAsia="標楷體" w:hAnsi="標楷體"/>
              </w:rPr>
              <w:t>另行</w:t>
            </w:r>
            <w:r>
              <w:rPr>
                <w:rFonts w:ascii="標楷體" w:eastAsia="標楷體" w:hAnsi="標楷體" w:hint="eastAsia"/>
              </w:rPr>
              <w:t>公告</w:t>
            </w:r>
            <w:r w:rsidRPr="00D661AF">
              <w:rPr>
                <w:rFonts w:ascii="標楷體" w:eastAsia="標楷體" w:hAnsi="標楷體"/>
              </w:rPr>
              <w:t>之。</w:t>
            </w:r>
          </w:p>
          <w:p w:rsidR="001A0B08" w:rsidRPr="00D661AF" w:rsidRDefault="001A0B08" w:rsidP="00A92B02">
            <w:pPr>
              <w:tabs>
                <w:tab w:val="left" w:pos="8933"/>
              </w:tabs>
              <w:spacing w:line="300" w:lineRule="exact"/>
              <w:ind w:left="3" w:rightChars="110" w:right="264"/>
              <w:rPr>
                <w:rFonts w:ascii="標楷體" w:eastAsia="標楷體" w:hAnsi="標楷體"/>
                <w:szCs w:val="20"/>
                <w:lang w:val="zh-TW"/>
              </w:rPr>
            </w:pPr>
          </w:p>
        </w:tc>
      </w:tr>
    </w:tbl>
    <w:p w:rsidR="00ED261E" w:rsidRPr="001A0B08" w:rsidRDefault="001A0B08"/>
    <w:sectPr w:rsidR="00ED261E" w:rsidRPr="001A0B08" w:rsidSect="001A0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535AB"/>
    <w:multiLevelType w:val="hybridMultilevel"/>
    <w:tmpl w:val="40E88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B08"/>
    <w:rsid w:val="001A0B08"/>
    <w:rsid w:val="00206E87"/>
    <w:rsid w:val="00AA3F04"/>
    <w:rsid w:val="00B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B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A0B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rsid w:val="001A0B08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2020-02-12T01:51:00Z</dcterms:created>
  <dcterms:modified xsi:type="dcterms:W3CDTF">2020-02-12T01:52:00Z</dcterms:modified>
</cp:coreProperties>
</file>