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FDC3" w14:textId="7D9C0A02" w:rsidR="00887766" w:rsidRPr="00B947EC" w:rsidRDefault="00887766" w:rsidP="00887766">
      <w:pPr>
        <w:spacing w:line="0" w:lineRule="atLeast"/>
        <w:rPr>
          <w:rFonts w:eastAsia="標楷體"/>
          <w:sz w:val="48"/>
          <w:szCs w:val="20"/>
        </w:rPr>
      </w:pPr>
      <w:r w:rsidRPr="00FE75FE">
        <w:rPr>
          <w:rFonts w:eastAsia="標楷體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4A388C00" wp14:editId="093B3694">
            <wp:simplePos x="0" y="0"/>
            <wp:positionH relativeFrom="margin">
              <wp:posOffset>-594278</wp:posOffset>
            </wp:positionH>
            <wp:positionV relativeFrom="paragraph">
              <wp:posOffset>23413</wp:posOffset>
            </wp:positionV>
            <wp:extent cx="939664" cy="33119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664" cy="331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標楷體" w:hint="eastAsia"/>
          <w:color w:val="000000" w:themeColor="text1"/>
          <w:u w:val="single"/>
        </w:rPr>
        <w:t xml:space="preserve">      </w:t>
      </w:r>
      <w:proofErr w:type="gramStart"/>
      <w:r w:rsidRPr="00FE75FE">
        <w:rPr>
          <w:rFonts w:eastAsia="標楷體"/>
          <w:b/>
          <w:sz w:val="48"/>
          <w:szCs w:val="20"/>
        </w:rPr>
        <w:t>11</w:t>
      </w:r>
      <w:r>
        <w:rPr>
          <w:rFonts w:eastAsia="標楷體" w:hint="eastAsia"/>
          <w:b/>
          <w:sz w:val="48"/>
          <w:szCs w:val="20"/>
        </w:rPr>
        <w:t>4</w:t>
      </w:r>
      <w:proofErr w:type="gramEnd"/>
      <w:r w:rsidRPr="00FE75FE">
        <w:rPr>
          <w:rFonts w:eastAsia="標楷體"/>
          <w:sz w:val="48"/>
          <w:szCs w:val="20"/>
        </w:rPr>
        <w:t>年度奧瑞岡式辯論推廣實施辦法</w:t>
      </w:r>
    </w:p>
    <w:tbl>
      <w:tblPr>
        <w:tblStyle w:val="a3"/>
        <w:tblpPr w:leftFromText="180" w:rightFromText="180" w:vertAnchor="text" w:tblpXSpec="center" w:tblpY="241"/>
        <w:tblOverlap w:val="never"/>
        <w:tblW w:w="10485" w:type="dxa"/>
        <w:jc w:val="center"/>
        <w:tblBorders>
          <w:top w:val="thickThinSmallGap" w:sz="12" w:space="0" w:color="000080"/>
          <w:left w:val="thickThinSmallGap" w:sz="12" w:space="0" w:color="000080"/>
          <w:bottom w:val="thinThickSmallGap" w:sz="12" w:space="0" w:color="000080"/>
          <w:right w:val="thinThickSmallGap" w:sz="12" w:space="0" w:color="000080"/>
          <w:insideH w:val="single" w:sz="4" w:space="0" w:color="000080"/>
          <w:insideV w:val="single" w:sz="4" w:space="0" w:color="000080"/>
        </w:tblBorders>
        <w:tblLook w:val="04A0" w:firstRow="1" w:lastRow="0" w:firstColumn="1" w:lastColumn="0" w:noHBand="0" w:noVBand="1"/>
      </w:tblPr>
      <w:tblGrid>
        <w:gridCol w:w="846"/>
        <w:gridCol w:w="2952"/>
        <w:gridCol w:w="2268"/>
        <w:gridCol w:w="1984"/>
        <w:gridCol w:w="2435"/>
      </w:tblGrid>
      <w:tr w:rsidR="00887766" w:rsidRPr="00FE75FE" w14:paraId="73FBF8B7" w14:textId="77777777" w:rsidTr="0009211B">
        <w:trPr>
          <w:jc w:val="center"/>
        </w:trPr>
        <w:tc>
          <w:tcPr>
            <w:tcW w:w="846" w:type="dxa"/>
            <w:tcBorders>
              <w:top w:val="thickThinSmallGap" w:sz="12" w:space="0" w:color="000080"/>
              <w:bottom w:val="double" w:sz="4" w:space="0" w:color="000080"/>
              <w:right w:val="double" w:sz="4" w:space="0" w:color="000080"/>
              <w:tl2br w:val="single" w:sz="4" w:space="0" w:color="000080"/>
            </w:tcBorders>
            <w:vAlign w:val="center"/>
          </w:tcPr>
          <w:p w14:paraId="0D39E26E" w14:textId="77777777" w:rsidR="00887766" w:rsidRPr="00FE75FE" w:rsidRDefault="00887766" w:rsidP="00A873D2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FE75FE">
              <w:rPr>
                <w:rFonts w:eastAsia="標楷體"/>
                <w:sz w:val="20"/>
                <w:szCs w:val="20"/>
              </w:rPr>
              <w:t>賽程</w:t>
            </w:r>
          </w:p>
          <w:p w14:paraId="00B05F78" w14:textId="77777777" w:rsidR="00887766" w:rsidRPr="00FE75FE" w:rsidRDefault="00887766" w:rsidP="00A873D2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FE75FE">
              <w:rPr>
                <w:rFonts w:eastAsia="標楷體"/>
                <w:sz w:val="20"/>
                <w:szCs w:val="20"/>
              </w:rPr>
              <w:t>辦法</w:t>
            </w:r>
          </w:p>
        </w:tc>
        <w:tc>
          <w:tcPr>
            <w:tcW w:w="2952" w:type="dxa"/>
            <w:tcBorders>
              <w:top w:val="thickThinSmallGap" w:sz="12" w:space="0" w:color="000080"/>
              <w:left w:val="double" w:sz="4" w:space="0" w:color="000080"/>
              <w:bottom w:val="double" w:sz="4" w:space="0" w:color="000080"/>
            </w:tcBorders>
            <w:vAlign w:val="center"/>
          </w:tcPr>
          <w:p w14:paraId="094B3957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E75FE">
              <w:rPr>
                <w:rFonts w:eastAsia="標楷體"/>
                <w:sz w:val="28"/>
                <w:szCs w:val="28"/>
              </w:rPr>
              <w:t>總會理事</w:t>
            </w:r>
            <w:proofErr w:type="gramStart"/>
            <w:r w:rsidRPr="00FE75FE">
              <w:rPr>
                <w:rFonts w:eastAsia="標楷體"/>
                <w:sz w:val="28"/>
                <w:szCs w:val="28"/>
              </w:rPr>
              <w:t>盃</w:t>
            </w:r>
            <w:proofErr w:type="gramEnd"/>
          </w:p>
          <w:p w14:paraId="25E381AB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E75FE">
              <w:rPr>
                <w:rFonts w:eastAsia="標楷體"/>
                <w:sz w:val="28"/>
                <w:szCs w:val="28"/>
              </w:rPr>
              <w:t>(</w:t>
            </w:r>
            <w:r w:rsidRPr="00FE75FE">
              <w:rPr>
                <w:rFonts w:eastAsia="標楷體"/>
                <w:sz w:val="28"/>
                <w:szCs w:val="28"/>
              </w:rPr>
              <w:t>初賽</w:t>
            </w:r>
            <w:r w:rsidRPr="00FE75FE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thickThinSmallGap" w:sz="12" w:space="0" w:color="000080"/>
              <w:bottom w:val="double" w:sz="4" w:space="0" w:color="000080"/>
            </w:tcBorders>
            <w:vAlign w:val="center"/>
          </w:tcPr>
          <w:p w14:paraId="23F251E8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E75FE">
              <w:rPr>
                <w:rFonts w:eastAsia="標楷體"/>
                <w:sz w:val="28"/>
                <w:szCs w:val="28"/>
              </w:rPr>
              <w:t>副總會長</w:t>
            </w:r>
            <w:proofErr w:type="gramStart"/>
            <w:r w:rsidRPr="00FE75FE">
              <w:rPr>
                <w:rFonts w:eastAsia="標楷體"/>
                <w:sz w:val="28"/>
                <w:szCs w:val="28"/>
              </w:rPr>
              <w:t>盃</w:t>
            </w:r>
            <w:proofErr w:type="gramEnd"/>
          </w:p>
          <w:p w14:paraId="223CE5C5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E75FE">
              <w:rPr>
                <w:rFonts w:eastAsia="標楷體"/>
                <w:sz w:val="28"/>
                <w:szCs w:val="28"/>
              </w:rPr>
              <w:t>(</w:t>
            </w:r>
            <w:r w:rsidRPr="00FE75FE">
              <w:rPr>
                <w:rFonts w:eastAsia="標楷體"/>
                <w:sz w:val="28"/>
                <w:szCs w:val="28"/>
              </w:rPr>
              <w:t>複賽</w:t>
            </w:r>
            <w:r w:rsidRPr="00FE75FE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419" w:type="dxa"/>
            <w:gridSpan w:val="2"/>
            <w:tcBorders>
              <w:top w:val="thickThinSmallGap" w:sz="12" w:space="0" w:color="000080"/>
              <w:bottom w:val="double" w:sz="4" w:space="0" w:color="000080"/>
            </w:tcBorders>
            <w:vAlign w:val="center"/>
          </w:tcPr>
          <w:p w14:paraId="15478668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E75FE">
              <w:rPr>
                <w:rFonts w:eastAsia="標楷體"/>
                <w:sz w:val="28"/>
                <w:szCs w:val="28"/>
              </w:rPr>
              <w:t>總會長</w:t>
            </w:r>
            <w:proofErr w:type="gramStart"/>
            <w:r w:rsidRPr="00FE75FE">
              <w:rPr>
                <w:rFonts w:eastAsia="標楷體"/>
                <w:sz w:val="28"/>
                <w:szCs w:val="28"/>
              </w:rPr>
              <w:t>盃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決賽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887766" w:rsidRPr="00FE75FE" w14:paraId="0F1129B6" w14:textId="77777777" w:rsidTr="0009211B">
        <w:trPr>
          <w:jc w:val="center"/>
        </w:trPr>
        <w:tc>
          <w:tcPr>
            <w:tcW w:w="846" w:type="dxa"/>
            <w:tcBorders>
              <w:top w:val="double" w:sz="4" w:space="0" w:color="000080"/>
              <w:right w:val="double" w:sz="4" w:space="0" w:color="000080"/>
            </w:tcBorders>
            <w:vAlign w:val="center"/>
          </w:tcPr>
          <w:p w14:paraId="24817E21" w14:textId="77777777" w:rsidR="00887766" w:rsidRPr="00FE75FE" w:rsidRDefault="00887766" w:rsidP="00A873D2">
            <w:pPr>
              <w:spacing w:line="0" w:lineRule="atLeast"/>
              <w:jc w:val="center"/>
              <w:textAlignment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時間</w:t>
            </w:r>
          </w:p>
          <w:p w14:paraId="16D07A9A" w14:textId="77777777" w:rsidR="00887766" w:rsidRPr="00FE75FE" w:rsidRDefault="00887766" w:rsidP="00A873D2">
            <w:pPr>
              <w:spacing w:line="0" w:lineRule="atLeast"/>
              <w:jc w:val="center"/>
              <w:textAlignment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地點</w:t>
            </w:r>
          </w:p>
        </w:tc>
        <w:tc>
          <w:tcPr>
            <w:tcW w:w="2952" w:type="dxa"/>
            <w:tcBorders>
              <w:top w:val="double" w:sz="4" w:space="0" w:color="000080"/>
              <w:left w:val="double" w:sz="4" w:space="0" w:color="000080"/>
            </w:tcBorders>
            <w:vAlign w:val="center"/>
          </w:tcPr>
          <w:p w14:paraId="56FC2BC7" w14:textId="77777777" w:rsidR="00887766" w:rsidRPr="00DD538C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配合</w:t>
            </w:r>
            <w:r>
              <w:rPr>
                <w:rFonts w:eastAsia="標楷體" w:hint="eastAsia"/>
              </w:rPr>
              <w:t>各</w:t>
            </w:r>
            <w:r w:rsidRPr="00FE75FE">
              <w:rPr>
                <w:rFonts w:eastAsia="標楷體"/>
              </w:rPr>
              <w:t>小區聯合月例會</w:t>
            </w:r>
          </w:p>
        </w:tc>
        <w:tc>
          <w:tcPr>
            <w:tcW w:w="2268" w:type="dxa"/>
            <w:tcBorders>
              <w:top w:val="double" w:sz="4" w:space="0" w:color="000080"/>
            </w:tcBorders>
            <w:vAlign w:val="center"/>
          </w:tcPr>
          <w:p w14:paraId="23285639" w14:textId="77777777" w:rsidR="00887766" w:rsidRPr="00FE75FE" w:rsidRDefault="00887766" w:rsidP="00A873D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八月九日</w:t>
            </w:r>
            <w:r w:rsidRPr="00FE75FE">
              <w:rPr>
                <w:rFonts w:eastAsia="標楷體"/>
              </w:rPr>
              <w:t>之前</w:t>
            </w:r>
          </w:p>
        </w:tc>
        <w:tc>
          <w:tcPr>
            <w:tcW w:w="1984" w:type="dxa"/>
            <w:tcBorders>
              <w:top w:val="double" w:sz="4" w:space="0" w:color="000080"/>
            </w:tcBorders>
            <w:vAlign w:val="center"/>
          </w:tcPr>
          <w:p w14:paraId="5D8095E2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淘汰賽（</w:t>
            </w:r>
            <w:r w:rsidRPr="00FE75FE">
              <w:rPr>
                <w:rFonts w:eastAsia="標楷體"/>
              </w:rPr>
              <w:t>預賽</w:t>
            </w:r>
            <w:r>
              <w:rPr>
                <w:rFonts w:eastAsia="標楷體" w:hint="eastAsia"/>
              </w:rPr>
              <w:t>）</w:t>
            </w:r>
          </w:p>
          <w:p w14:paraId="2902DC64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八月</w:t>
            </w:r>
            <w:r>
              <w:rPr>
                <w:rFonts w:eastAsia="標楷體" w:hint="eastAsia"/>
              </w:rPr>
              <w:t>三</w:t>
            </w:r>
            <w:r w:rsidRPr="00FE75FE">
              <w:rPr>
                <w:rFonts w:eastAsia="標楷體"/>
              </w:rPr>
              <w:t>十日、</w:t>
            </w:r>
            <w:r>
              <w:rPr>
                <w:rFonts w:eastAsia="標楷體" w:hint="eastAsia"/>
              </w:rPr>
              <w:t>三</w:t>
            </w:r>
            <w:r w:rsidRPr="00FE75FE">
              <w:rPr>
                <w:rFonts w:eastAsia="標楷體"/>
              </w:rPr>
              <w:t>十一日</w:t>
            </w:r>
          </w:p>
        </w:tc>
        <w:tc>
          <w:tcPr>
            <w:tcW w:w="2435" w:type="dxa"/>
            <w:tcBorders>
              <w:top w:val="double" w:sz="4" w:space="0" w:color="000080"/>
            </w:tcBorders>
            <w:vAlign w:val="center"/>
          </w:tcPr>
          <w:p w14:paraId="6DCDA145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決賽</w:t>
            </w:r>
          </w:p>
          <w:p w14:paraId="04B0D612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配合全國年會日期辦理（</w:t>
            </w:r>
            <w:r>
              <w:rPr>
                <w:rFonts w:eastAsia="標楷體" w:hint="eastAsia"/>
              </w:rPr>
              <w:t>九月十三日</w:t>
            </w:r>
            <w:r w:rsidRPr="00FE75FE">
              <w:rPr>
                <w:rFonts w:eastAsia="標楷體"/>
              </w:rPr>
              <w:t>）</w:t>
            </w:r>
          </w:p>
        </w:tc>
      </w:tr>
      <w:tr w:rsidR="00887766" w:rsidRPr="00FE75FE" w14:paraId="5F99DF16" w14:textId="77777777" w:rsidTr="00A873D2">
        <w:trPr>
          <w:jc w:val="center"/>
        </w:trPr>
        <w:tc>
          <w:tcPr>
            <w:tcW w:w="846" w:type="dxa"/>
            <w:tcBorders>
              <w:right w:val="double" w:sz="4" w:space="0" w:color="000080"/>
            </w:tcBorders>
            <w:vAlign w:val="center"/>
          </w:tcPr>
          <w:p w14:paraId="2079F54C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領隊會議</w:t>
            </w:r>
          </w:p>
        </w:tc>
        <w:tc>
          <w:tcPr>
            <w:tcW w:w="9639" w:type="dxa"/>
            <w:gridSpan w:val="4"/>
            <w:tcBorders>
              <w:left w:val="double" w:sz="4" w:space="0" w:color="000080"/>
            </w:tcBorders>
            <w:vAlign w:val="center"/>
          </w:tcPr>
          <w:p w14:paraId="01C437B5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賽前兩</w:t>
            </w:r>
            <w:proofErr w:type="gramStart"/>
            <w:r w:rsidRPr="00FE75FE">
              <w:rPr>
                <w:rFonts w:eastAsia="標楷體"/>
              </w:rPr>
              <w:t>週</w:t>
            </w:r>
            <w:proofErr w:type="gramEnd"/>
            <w:r w:rsidRPr="00FE75FE">
              <w:rPr>
                <w:rFonts w:eastAsia="標楷體"/>
              </w:rPr>
              <w:t>之前召開</w:t>
            </w:r>
          </w:p>
        </w:tc>
      </w:tr>
      <w:tr w:rsidR="00887766" w:rsidRPr="00FE75FE" w14:paraId="626F25D8" w14:textId="77777777" w:rsidTr="0009211B">
        <w:trPr>
          <w:jc w:val="center"/>
        </w:trPr>
        <w:tc>
          <w:tcPr>
            <w:tcW w:w="846" w:type="dxa"/>
            <w:tcBorders>
              <w:right w:val="double" w:sz="4" w:space="0" w:color="000080"/>
            </w:tcBorders>
            <w:vAlign w:val="center"/>
          </w:tcPr>
          <w:p w14:paraId="2D104203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辯士資格</w:t>
            </w:r>
          </w:p>
        </w:tc>
        <w:tc>
          <w:tcPr>
            <w:tcW w:w="2952" w:type="dxa"/>
            <w:tcBorders>
              <w:left w:val="double" w:sz="4" w:space="0" w:color="000080"/>
            </w:tcBorders>
          </w:tcPr>
          <w:p w14:paraId="63C13099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 w:left="464" w:hanging="425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各分會基本會友</w:t>
            </w:r>
            <w:r w:rsidRPr="00FE75FE">
              <w:rPr>
                <w:rFonts w:ascii="Times New Roman" w:eastAsia="標楷體" w:hAnsi="Times New Roman" w:cs="Times New Roman"/>
              </w:rPr>
              <w:t>(</w:t>
            </w:r>
            <w:r w:rsidRPr="00FE75FE">
              <w:rPr>
                <w:rFonts w:ascii="Times New Roman" w:eastAsia="標楷體" w:hAnsi="Times New Roman" w:cs="Times New Roman"/>
              </w:rPr>
              <w:t>以領隊會議審查時為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準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)</w:t>
            </w:r>
            <w:r w:rsidRPr="00FE75FE">
              <w:rPr>
                <w:rFonts w:ascii="Times New Roman" w:eastAsia="標楷體" w:hAnsi="Times New Roman" w:cs="Times New Roman"/>
              </w:rPr>
              <w:t>。</w:t>
            </w:r>
          </w:p>
          <w:p w14:paraId="057250AD" w14:textId="77777777" w:rsidR="00887766" w:rsidRPr="008A5A1E" w:rsidRDefault="00887766" w:rsidP="00887766">
            <w:pPr>
              <w:pStyle w:val="a4"/>
              <w:widowControl/>
              <w:numPr>
                <w:ilvl w:val="0"/>
                <w:numId w:val="1"/>
              </w:numPr>
              <w:spacing w:line="0" w:lineRule="atLeast"/>
              <w:ind w:leftChars="0" w:left="464" w:hanging="425"/>
              <w:rPr>
                <w:rFonts w:ascii="Times New Roman" w:eastAsia="標楷體" w:hAnsi="Times New Roman" w:cs="Times New Roman"/>
              </w:rPr>
            </w:pPr>
            <w:r w:rsidRPr="008A5A1E">
              <w:rPr>
                <w:rFonts w:ascii="Times New Roman" w:eastAsia="標楷體" w:hAnsi="Times New Roman" w:cs="Times New Roman"/>
              </w:rPr>
              <w:t>如有總會評審資格之評審，欲參與總會理事</w:t>
            </w:r>
            <w:proofErr w:type="gramStart"/>
            <w:r w:rsidRPr="008A5A1E">
              <w:rPr>
                <w:rFonts w:ascii="Times New Roman" w:eastAsia="標楷體" w:hAnsi="Times New Roman" w:cs="Times New Roman"/>
              </w:rPr>
              <w:t>盃</w:t>
            </w:r>
            <w:proofErr w:type="gramEnd"/>
            <w:r w:rsidRPr="008A5A1E">
              <w:rPr>
                <w:rFonts w:ascii="Times New Roman" w:eastAsia="標楷體" w:hAnsi="Times New Roman" w:cs="Times New Roman"/>
              </w:rPr>
              <w:t>以上之比賽，須凍結當年度總會評審資格。</w:t>
            </w:r>
          </w:p>
        </w:tc>
        <w:tc>
          <w:tcPr>
            <w:tcW w:w="2268" w:type="dxa"/>
          </w:tcPr>
          <w:p w14:paraId="0D8DB054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17" w:left="463" w:hangingChars="176" w:hanging="422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各分會基本會友。</w:t>
            </w:r>
          </w:p>
          <w:p w14:paraId="0FB231D4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4"/>
              </w:numPr>
              <w:spacing w:line="0" w:lineRule="atLeast"/>
              <w:ind w:leftChars="17" w:left="463" w:hangingChars="176" w:hanging="422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各代表隊需有二人以上參加由各區承辦分會承辦之初階講習會。</w:t>
            </w:r>
          </w:p>
        </w:tc>
        <w:tc>
          <w:tcPr>
            <w:tcW w:w="4419" w:type="dxa"/>
            <w:gridSpan w:val="2"/>
          </w:tcPr>
          <w:p w14:paraId="422E450B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各分會基本會友。</w:t>
            </w:r>
          </w:p>
          <w:p w14:paraId="041B853A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 w:left="464" w:hanging="425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經各區產生之代表隊</w:t>
            </w:r>
            <w:r w:rsidRPr="00FE75FE">
              <w:rPr>
                <w:rFonts w:ascii="Times New Roman" w:eastAsia="標楷體" w:hAnsi="Times New Roman" w:cs="Times New Roman"/>
              </w:rPr>
              <w:t>3-8</w:t>
            </w:r>
            <w:r w:rsidRPr="00FE75FE">
              <w:rPr>
                <w:rFonts w:ascii="Times New Roman" w:eastAsia="標楷體" w:hAnsi="Times New Roman" w:cs="Times New Roman"/>
              </w:rPr>
              <w:t>人</w:t>
            </w:r>
            <w:r w:rsidRPr="00FE75FE">
              <w:rPr>
                <w:rFonts w:ascii="Times New Roman" w:eastAsia="標楷體" w:hAnsi="Times New Roman" w:cs="Times New Roman"/>
              </w:rPr>
              <w:t>(</w:t>
            </w:r>
            <w:r w:rsidRPr="00FE75FE">
              <w:rPr>
                <w:rFonts w:ascii="Times New Roman" w:eastAsia="標楷體" w:hAnsi="Times New Roman" w:cs="Times New Roman"/>
              </w:rPr>
              <w:t>不含領隊</w:t>
            </w:r>
            <w:r w:rsidRPr="00FE75FE">
              <w:rPr>
                <w:rFonts w:ascii="Times New Roman" w:eastAsia="標楷體" w:hAnsi="Times New Roman" w:cs="Times New Roman"/>
              </w:rPr>
              <w:t>)</w:t>
            </w:r>
            <w:r w:rsidRPr="00FE75FE">
              <w:rPr>
                <w:rFonts w:ascii="Times New Roman" w:eastAsia="標楷體" w:hAnsi="Times New Roman" w:cs="Times New Roman"/>
              </w:rPr>
              <w:t>。</w:t>
            </w:r>
          </w:p>
          <w:p w14:paraId="2ED2A776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2"/>
              </w:numPr>
              <w:spacing w:line="0" w:lineRule="atLeast"/>
              <w:ind w:leftChars="0" w:left="464" w:hanging="425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各代表隊需有三人以上參加由</w:t>
            </w:r>
            <w:r>
              <w:rPr>
                <w:rFonts w:ascii="Times New Roman" w:eastAsia="標楷體" w:hAnsi="Times New Roman" w:cs="Times New Roman" w:hint="eastAsia"/>
              </w:rPr>
              <w:t>彰化</w:t>
            </w:r>
            <w:r w:rsidRPr="00FE75FE">
              <w:rPr>
                <w:rFonts w:ascii="Times New Roman" w:eastAsia="標楷體" w:hAnsi="Times New Roman" w:cs="Times New Roman"/>
              </w:rPr>
              <w:t>分會承辦之進階講習會，且出賽之辯士至少有一人參加進階講習會。</w:t>
            </w:r>
          </w:p>
        </w:tc>
      </w:tr>
      <w:tr w:rsidR="00887766" w:rsidRPr="00FE75FE" w14:paraId="0CB0FD04" w14:textId="77777777" w:rsidTr="0009211B">
        <w:trPr>
          <w:jc w:val="center"/>
        </w:trPr>
        <w:tc>
          <w:tcPr>
            <w:tcW w:w="846" w:type="dxa"/>
            <w:tcBorders>
              <w:right w:val="double" w:sz="4" w:space="0" w:color="000080"/>
            </w:tcBorders>
            <w:vAlign w:val="center"/>
          </w:tcPr>
          <w:p w14:paraId="5D0BB059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參賽隊伍隊數</w:t>
            </w:r>
          </w:p>
        </w:tc>
        <w:tc>
          <w:tcPr>
            <w:tcW w:w="2952" w:type="dxa"/>
            <w:tcBorders>
              <w:left w:val="double" w:sz="4" w:space="0" w:color="000080"/>
            </w:tcBorders>
          </w:tcPr>
          <w:p w14:paraId="24794137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17" w:left="463" w:hangingChars="176" w:hanging="422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區會自行決定參加隊伍。</w:t>
            </w:r>
          </w:p>
          <w:p w14:paraId="5AC7B09F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464" w:hanging="425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各分會不限參加隊伍數。</w:t>
            </w:r>
          </w:p>
          <w:p w14:paraId="39CFB534" w14:textId="77777777" w:rsidR="00887766" w:rsidRPr="008A5A1E" w:rsidRDefault="00887766" w:rsidP="00887766">
            <w:pPr>
              <w:pStyle w:val="a4"/>
              <w:widowControl/>
              <w:numPr>
                <w:ilvl w:val="0"/>
                <w:numId w:val="3"/>
              </w:numPr>
              <w:spacing w:line="0" w:lineRule="atLeast"/>
              <w:ind w:leftChars="0" w:left="464" w:hanging="425"/>
              <w:rPr>
                <w:rFonts w:ascii="Times New Roman" w:eastAsia="標楷體" w:hAnsi="Times New Roman" w:cs="Times New Roman"/>
              </w:rPr>
            </w:pPr>
            <w:r w:rsidRPr="008A5A1E">
              <w:rPr>
                <w:rFonts w:ascii="Times New Roman" w:eastAsia="標楷體" w:hAnsi="Times New Roman" w:cs="Times New Roman"/>
              </w:rPr>
              <w:t>各分會需有一隊完成比賽即可取得晉級複賽的資格。</w:t>
            </w:r>
          </w:p>
        </w:tc>
        <w:tc>
          <w:tcPr>
            <w:tcW w:w="2268" w:type="dxa"/>
          </w:tcPr>
          <w:p w14:paraId="706765E0" w14:textId="77777777" w:rsidR="00887766" w:rsidRPr="008A5A1E" w:rsidRDefault="00887766" w:rsidP="00887766">
            <w:pPr>
              <w:pStyle w:val="a4"/>
              <w:widowControl/>
              <w:numPr>
                <w:ilvl w:val="0"/>
                <w:numId w:val="5"/>
              </w:numPr>
              <w:spacing w:line="0" w:lineRule="atLeast"/>
              <w:ind w:leftChars="17" w:left="463" w:hangingChars="176" w:hanging="422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領隊會議需向總會核備參與隊伍及辯士名單</w:t>
            </w:r>
            <w:r w:rsidRPr="00FE75FE">
              <w:rPr>
                <w:rFonts w:ascii="Times New Roman" w:eastAsia="標楷體" w:hAnsi="Times New Roman" w:cs="Times New Roman"/>
              </w:rPr>
              <w:t>(</w:t>
            </w:r>
            <w:r w:rsidRPr="00FE75FE">
              <w:rPr>
                <w:rFonts w:ascii="Times New Roman" w:eastAsia="標楷體" w:hAnsi="Times New Roman" w:cs="Times New Roman"/>
              </w:rPr>
              <w:t>不同隊伍間辯士名單不得重複</w:t>
            </w:r>
            <w:r w:rsidRPr="00FE75FE">
              <w:rPr>
                <w:rFonts w:ascii="Times New Roman" w:eastAsia="標楷體" w:hAnsi="Times New Roman" w:cs="Times New Roman"/>
              </w:rPr>
              <w:t>)</w:t>
            </w:r>
            <w:r w:rsidRPr="00FE75FE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4419" w:type="dxa"/>
            <w:gridSpan w:val="2"/>
          </w:tcPr>
          <w:p w14:paraId="49BC4859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6"/>
              </w:numPr>
              <w:spacing w:line="0" w:lineRule="atLeast"/>
              <w:ind w:leftChars="0" w:left="463" w:hangingChars="193" w:hanging="463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領隊會議前需向主辦單位核備參與隊伍及辯士名單，且相關費用需繳納完成。</w:t>
            </w:r>
          </w:p>
          <w:p w14:paraId="57304F7A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6"/>
              </w:numPr>
              <w:spacing w:line="0" w:lineRule="atLeast"/>
              <w:ind w:leftChars="0" w:left="463" w:hangingChars="193" w:hanging="463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各分會參與決賽，以報名</w:t>
            </w:r>
            <w:r w:rsidRPr="00FE75FE">
              <w:rPr>
                <w:rFonts w:ascii="Times New Roman" w:eastAsia="標楷體" w:hAnsi="Times New Roman" w:cs="Times New Roman"/>
              </w:rPr>
              <w:t>1</w:t>
            </w:r>
            <w:r w:rsidRPr="00FE75FE">
              <w:rPr>
                <w:rFonts w:ascii="Times New Roman" w:eastAsia="標楷體" w:hAnsi="Times New Roman" w:cs="Times New Roman"/>
              </w:rPr>
              <w:t>隊為限。</w:t>
            </w:r>
          </w:p>
          <w:p w14:paraId="7365F0A8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6"/>
              </w:numPr>
              <w:spacing w:line="0" w:lineRule="atLeast"/>
              <w:ind w:leftChars="0" w:left="463" w:hangingChars="193" w:hanging="463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各區取得決賽代表權之晉級隊伍出缺時，得依序遞補。</w:t>
            </w:r>
          </w:p>
          <w:p w14:paraId="28CE481B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6"/>
              </w:numPr>
              <w:spacing w:line="0" w:lineRule="atLeast"/>
              <w:ind w:leftChars="0" w:left="463" w:hangingChars="193" w:hanging="46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副總</w:t>
            </w:r>
            <w:r w:rsidRPr="00FE75FE">
              <w:rPr>
                <w:rFonts w:ascii="Times New Roman" w:eastAsia="標楷體" w:hAnsi="Times New Roman" w:cs="Times New Roman"/>
              </w:rPr>
              <w:t>會長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盃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取得冠軍之分會，且該區</w:t>
            </w:r>
            <w:r>
              <w:rPr>
                <w:rFonts w:ascii="Times New Roman" w:eastAsia="標楷體" w:hAnsi="Times New Roman" w:cs="Times New Roman" w:hint="eastAsia"/>
              </w:rPr>
              <w:t>副總</w:t>
            </w:r>
            <w:r w:rsidRPr="00FE75FE">
              <w:rPr>
                <w:rFonts w:ascii="Times New Roman" w:eastAsia="標楷體" w:hAnsi="Times New Roman" w:cs="Times New Roman"/>
              </w:rPr>
              <w:t>會長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盃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報名並完賽之隊伍數在四隊以上，淘汰賽時直接取得八強種子隊資格。</w:t>
            </w:r>
          </w:p>
        </w:tc>
      </w:tr>
      <w:tr w:rsidR="00887766" w:rsidRPr="00FE75FE" w14:paraId="11A6592E" w14:textId="77777777" w:rsidTr="00887766">
        <w:trPr>
          <w:jc w:val="center"/>
        </w:trPr>
        <w:tc>
          <w:tcPr>
            <w:tcW w:w="846" w:type="dxa"/>
            <w:tcBorders>
              <w:right w:val="double" w:sz="4" w:space="0" w:color="000080"/>
            </w:tcBorders>
            <w:vAlign w:val="center"/>
          </w:tcPr>
          <w:p w14:paraId="7CE747AF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承辦分會</w:t>
            </w:r>
          </w:p>
        </w:tc>
        <w:tc>
          <w:tcPr>
            <w:tcW w:w="5220" w:type="dxa"/>
            <w:gridSpan w:val="2"/>
            <w:tcBorders>
              <w:left w:val="double" w:sz="4" w:space="0" w:color="000080"/>
            </w:tcBorders>
            <w:vAlign w:val="center"/>
          </w:tcPr>
          <w:p w14:paraId="4FB5FE7B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各區</w:t>
            </w:r>
            <w:proofErr w:type="gramStart"/>
            <w:r w:rsidRPr="00FE75FE"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3</w:t>
            </w:r>
            <w:proofErr w:type="gramEnd"/>
            <w:r w:rsidRPr="00FE75FE">
              <w:rPr>
                <w:rFonts w:eastAsia="標楷體"/>
              </w:rPr>
              <w:t>年度冠軍隊伍所屬分會</w:t>
            </w:r>
          </w:p>
        </w:tc>
        <w:tc>
          <w:tcPr>
            <w:tcW w:w="4419" w:type="dxa"/>
            <w:gridSpan w:val="2"/>
            <w:vAlign w:val="center"/>
          </w:tcPr>
          <w:p w14:paraId="13F0A2E8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彰化分會</w:t>
            </w:r>
          </w:p>
        </w:tc>
      </w:tr>
      <w:tr w:rsidR="00887766" w:rsidRPr="00FE75FE" w14:paraId="2BC7FD58" w14:textId="77777777" w:rsidTr="00A873D2">
        <w:trPr>
          <w:trHeight w:val="1244"/>
          <w:jc w:val="center"/>
        </w:trPr>
        <w:tc>
          <w:tcPr>
            <w:tcW w:w="846" w:type="dxa"/>
            <w:tcBorders>
              <w:right w:val="double" w:sz="4" w:space="0" w:color="000080"/>
            </w:tcBorders>
            <w:vAlign w:val="center"/>
          </w:tcPr>
          <w:p w14:paraId="35B7E459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註冊費用</w:t>
            </w:r>
          </w:p>
        </w:tc>
        <w:tc>
          <w:tcPr>
            <w:tcW w:w="9639" w:type="dxa"/>
            <w:gridSpan w:val="4"/>
            <w:tcBorders>
              <w:left w:val="double" w:sz="4" w:space="0" w:color="000080"/>
            </w:tcBorders>
          </w:tcPr>
          <w:p w14:paraId="6ABFEB5E" w14:textId="77777777" w:rsidR="00887766" w:rsidRPr="00FE75FE" w:rsidRDefault="00887766" w:rsidP="00A873D2">
            <w:pPr>
              <w:spacing w:line="0" w:lineRule="atLeast"/>
              <w:rPr>
                <w:rFonts w:eastAsia="標楷體"/>
              </w:rPr>
            </w:pPr>
            <w:r w:rsidRPr="00FE75FE">
              <w:rPr>
                <w:rFonts w:eastAsia="標楷體"/>
              </w:rPr>
              <w:t>參賽隊伍於報名時繳交：</w:t>
            </w:r>
          </w:p>
          <w:p w14:paraId="5FB56876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報名費：初賽肆仟元，複賽伍仟元，決賽陸仟元。</w:t>
            </w:r>
          </w:p>
          <w:p w14:paraId="4D75659C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保證金伍仟元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賽程結束即退回；棄權者不退回保證金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）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887766" w:rsidRPr="00FE75FE" w14:paraId="6597D740" w14:textId="77777777" w:rsidTr="00A873D2">
        <w:trPr>
          <w:jc w:val="center"/>
        </w:trPr>
        <w:tc>
          <w:tcPr>
            <w:tcW w:w="846" w:type="dxa"/>
            <w:tcBorders>
              <w:right w:val="double" w:sz="4" w:space="0" w:color="000080"/>
            </w:tcBorders>
            <w:vAlign w:val="center"/>
          </w:tcPr>
          <w:p w14:paraId="324EF37C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比賽規則</w:t>
            </w:r>
          </w:p>
        </w:tc>
        <w:tc>
          <w:tcPr>
            <w:tcW w:w="9639" w:type="dxa"/>
            <w:gridSpan w:val="4"/>
            <w:tcBorders>
              <w:left w:val="double" w:sz="4" w:space="0" w:color="000080"/>
            </w:tcBorders>
          </w:tcPr>
          <w:p w14:paraId="19DF9FB6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8"/>
              </w:numPr>
              <w:spacing w:line="0" w:lineRule="atLeast"/>
              <w:ind w:leftChars="1" w:left="463" w:hangingChars="192" w:hanging="461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依據總會頒訂之奧瑞岡辯論比賽規則（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年度新修訂版）實施，如有未盡事宜，於領隊會議中補行另訂之。如遇不可抗力之因素，需轉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成線上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比賽，則參照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FE75FE">
              <w:rPr>
                <w:rFonts w:ascii="Times New Roman" w:eastAsia="標楷體" w:hAnsi="Times New Roman" w:cs="Times New Roman"/>
              </w:rPr>
              <w:t>年度線上奧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瑞岡比賽辦法指南辦理。</w:t>
            </w:r>
          </w:p>
          <w:p w14:paraId="32FEBD6B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8"/>
              </w:numPr>
              <w:spacing w:line="0" w:lineRule="atLeast"/>
              <w:ind w:leftChars="1" w:left="463" w:hangingChars="192" w:hanging="461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各區舉辦之比賽，為求評審評分之公平，評分表宜於比賽結束後，正反持方兩隊得拍照存檔，並交由總會奧瑞岡辯論推廣委員會存查。</w:t>
            </w:r>
          </w:p>
          <w:p w14:paraId="71B58377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8"/>
              </w:numPr>
              <w:spacing w:line="0" w:lineRule="atLeast"/>
              <w:ind w:leftChars="1" w:left="463" w:hangingChars="192" w:hanging="461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任何棄權隊伍或辯士，均不得參加當年度晉級賽。</w:t>
            </w:r>
          </w:p>
          <w:p w14:paraId="5B816503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8"/>
              </w:numPr>
              <w:spacing w:line="0" w:lineRule="atLeast"/>
              <w:ind w:leftChars="1" w:left="463" w:hangingChars="192" w:hanging="461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對戰正反兩隊或承辦分會需準備錄影設備。</w:t>
            </w:r>
          </w:p>
          <w:p w14:paraId="0E0D1CCD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8"/>
              </w:numPr>
              <w:spacing w:line="0" w:lineRule="atLeast"/>
              <w:ind w:leftChars="1" w:left="463" w:hangingChars="192" w:hanging="461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不得跨區報名比賽，但若該區報名隊伍少於兩隊，得與他區合併舉辦。</w:t>
            </w:r>
          </w:p>
          <w:p w14:paraId="43747420" w14:textId="02EABDC0" w:rsidR="00887766" w:rsidRPr="00887766" w:rsidRDefault="00887766" w:rsidP="00A873D2">
            <w:pPr>
              <w:pStyle w:val="a4"/>
              <w:widowControl/>
              <w:numPr>
                <w:ilvl w:val="0"/>
                <w:numId w:val="8"/>
              </w:numPr>
              <w:spacing w:line="0" w:lineRule="atLeast"/>
              <w:ind w:leftChars="1" w:left="463" w:hangingChars="192" w:hanging="461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總會奧瑞岡辯論推廣委員會得派員於各場比賽錄影存檔。</w:t>
            </w:r>
          </w:p>
        </w:tc>
      </w:tr>
      <w:tr w:rsidR="00887766" w:rsidRPr="00FE75FE" w14:paraId="07B8488D" w14:textId="77777777" w:rsidTr="00DA0A86">
        <w:trPr>
          <w:trHeight w:val="7220"/>
          <w:jc w:val="center"/>
        </w:trPr>
        <w:tc>
          <w:tcPr>
            <w:tcW w:w="846" w:type="dxa"/>
            <w:tcBorders>
              <w:right w:val="double" w:sz="4" w:space="0" w:color="000080"/>
            </w:tcBorders>
            <w:vAlign w:val="center"/>
          </w:tcPr>
          <w:p w14:paraId="0D29941C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lastRenderedPageBreak/>
              <w:t>比賽題目及定義</w:t>
            </w:r>
          </w:p>
        </w:tc>
        <w:tc>
          <w:tcPr>
            <w:tcW w:w="5220" w:type="dxa"/>
            <w:gridSpan w:val="2"/>
            <w:tcBorders>
              <w:left w:val="double" w:sz="4" w:space="0" w:color="000080"/>
            </w:tcBorders>
          </w:tcPr>
          <w:p w14:paraId="0F23B231" w14:textId="77777777" w:rsidR="00887766" w:rsidRPr="00FE75FE" w:rsidRDefault="00887766" w:rsidP="00A873D2">
            <w:pPr>
              <w:rPr>
                <w:rFonts w:eastAsia="標楷體"/>
              </w:rPr>
            </w:pPr>
            <w:r w:rsidRPr="00FE75FE">
              <w:rPr>
                <w:rFonts w:eastAsia="標楷體"/>
              </w:rPr>
              <w:t>政策</w:t>
            </w:r>
            <w:proofErr w:type="gramStart"/>
            <w:r w:rsidRPr="00FE75FE">
              <w:rPr>
                <w:rFonts w:eastAsia="標楷體"/>
              </w:rPr>
              <w:t>型辯題</w:t>
            </w:r>
            <w:proofErr w:type="gramEnd"/>
            <w:r w:rsidRPr="00FE75FE">
              <w:rPr>
                <w:rFonts w:eastAsia="標楷體"/>
              </w:rPr>
              <w:t>：</w:t>
            </w:r>
          </w:p>
          <w:p w14:paraId="6777C83B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1.我國中央政府體制應</w:t>
            </w:r>
            <w:proofErr w:type="gramStart"/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採</w:t>
            </w:r>
            <w:proofErr w:type="gramEnd"/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內閣制</w:t>
            </w:r>
          </w:p>
          <w:p w14:paraId="794975BE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2.我國女性應全面服兵役</w:t>
            </w:r>
          </w:p>
          <w:p w14:paraId="1236F2F6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3.我國應設立博弈特區</w:t>
            </w:r>
          </w:p>
          <w:p w14:paraId="6113816F" w14:textId="77777777" w:rsidR="00887766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4.我國成年人性別變更登記應</w:t>
            </w:r>
            <w:proofErr w:type="gramStart"/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採</w:t>
            </w:r>
            <w:proofErr w:type="gramEnd"/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自我決定模式</w:t>
            </w:r>
          </w:p>
          <w:p w14:paraId="445976C3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附加定義：自我決定模式係指不需針對性別認同提供醫療或其他非醫療的證明，亦毋庸透過法院裁決，僅須於行政程序經自我宣稱（self-declaration）變更性別登記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)</w:t>
            </w:r>
          </w:p>
          <w:p w14:paraId="372DDED9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5.</w:t>
            </w:r>
            <w:r w:rsidRPr="000F3577">
              <w:rPr>
                <w:rFonts w:hint="eastAsia"/>
                <w:color w:val="000000" w:themeColor="text1"/>
              </w:rPr>
              <w:t>我國應廢除娛樂稅法</w:t>
            </w:r>
          </w:p>
          <w:p w14:paraId="75CAF3A9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6.</w:t>
            </w:r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我國應</w:t>
            </w:r>
            <w:proofErr w:type="gramStart"/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課徵酒品</w:t>
            </w:r>
            <w:proofErr w:type="gramEnd"/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健康捐</w:t>
            </w:r>
          </w:p>
          <w:p w14:paraId="05F28984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7.</w:t>
            </w:r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我國安樂死應合法化</w:t>
            </w:r>
          </w:p>
          <w:p w14:paraId="44924ED1" w14:textId="77777777" w:rsidR="00887766" w:rsidRPr="000F3577" w:rsidRDefault="00887766" w:rsidP="00A873D2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8.</w:t>
            </w:r>
            <w:r w:rsidRPr="00DD3189">
              <w:rPr>
                <w:rFonts w:asciiTheme="majorEastAsia" w:eastAsiaTheme="majorEastAsia" w:hAnsiTheme="majorEastAsia" w:hint="eastAsia"/>
                <w:color w:val="000000" w:themeColor="text1"/>
              </w:rPr>
              <w:t>我國應立法保障私</w:t>
            </w:r>
            <w:proofErr w:type="gramStart"/>
            <w:r w:rsidRPr="00DD3189">
              <w:rPr>
                <w:rFonts w:asciiTheme="majorEastAsia" w:eastAsiaTheme="majorEastAsia" w:hAnsiTheme="majorEastAsia" w:hint="eastAsia"/>
                <w:color w:val="000000" w:themeColor="text1"/>
              </w:rPr>
              <w:t>部門揭弊者</w:t>
            </w:r>
            <w:proofErr w:type="gramEnd"/>
          </w:p>
          <w:p w14:paraId="3BE674CE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9.</w:t>
            </w:r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我國小規模營業人應全面使用統一發票</w:t>
            </w:r>
          </w:p>
          <w:p w14:paraId="131BC440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.</w:t>
            </w:r>
            <w:r w:rsidRPr="000F3577">
              <w:rPr>
                <w:rFonts w:asciiTheme="majorEastAsia" w:eastAsiaTheme="majorEastAsia" w:hAnsiTheme="majorEastAsia"/>
                <w:color w:val="000000" w:themeColor="text1"/>
              </w:rPr>
              <w:t>我國普通刑法應廢除死刑</w:t>
            </w:r>
          </w:p>
          <w:p w14:paraId="2B4494AE" w14:textId="77777777" w:rsidR="00887766" w:rsidRPr="000F3577" w:rsidRDefault="00887766" w:rsidP="00A873D2">
            <w:pPr>
              <w:rPr>
                <w:rFonts w:eastAsia="標楷體"/>
              </w:rPr>
            </w:pPr>
          </w:p>
          <w:p w14:paraId="0108B15B" w14:textId="77777777" w:rsidR="00887766" w:rsidRPr="00FE75FE" w:rsidRDefault="00887766" w:rsidP="00A873D2">
            <w:pPr>
              <w:rPr>
                <w:rFonts w:eastAsia="標楷體"/>
              </w:rPr>
            </w:pPr>
          </w:p>
          <w:p w14:paraId="458890E1" w14:textId="77777777" w:rsidR="00887766" w:rsidRPr="00FE75FE" w:rsidRDefault="00887766" w:rsidP="00A873D2">
            <w:pPr>
              <w:rPr>
                <w:rFonts w:eastAsia="標楷體"/>
              </w:rPr>
            </w:pPr>
          </w:p>
        </w:tc>
        <w:tc>
          <w:tcPr>
            <w:tcW w:w="4419" w:type="dxa"/>
            <w:gridSpan w:val="2"/>
          </w:tcPr>
          <w:p w14:paraId="232AD0A6" w14:textId="77777777" w:rsidR="00887766" w:rsidRPr="000F3577" w:rsidRDefault="00887766" w:rsidP="00A873D2">
            <w:pPr>
              <w:rPr>
                <w:rFonts w:eastAsia="標楷體"/>
                <w:color w:val="000000" w:themeColor="text1"/>
              </w:rPr>
            </w:pPr>
            <w:r w:rsidRPr="000F3577">
              <w:rPr>
                <w:rFonts w:eastAsia="標楷體"/>
                <w:color w:val="000000" w:themeColor="text1"/>
              </w:rPr>
              <w:t>價值</w:t>
            </w:r>
            <w:proofErr w:type="gramStart"/>
            <w:r w:rsidRPr="000F3577">
              <w:rPr>
                <w:rFonts w:eastAsia="標楷體"/>
                <w:color w:val="000000" w:themeColor="text1"/>
              </w:rPr>
              <w:t>型辯題</w:t>
            </w:r>
            <w:proofErr w:type="gramEnd"/>
            <w:r w:rsidRPr="000F3577">
              <w:rPr>
                <w:rFonts w:eastAsia="標楷體"/>
                <w:color w:val="000000" w:themeColor="text1"/>
              </w:rPr>
              <w:t>：</w:t>
            </w:r>
          </w:p>
          <w:p w14:paraId="3C932521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1.愛上好朋友的戀人，該不該追?</w:t>
            </w:r>
          </w:p>
          <w:p w14:paraId="74043EFF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2.熬夜是現代人的病/藥?</w:t>
            </w:r>
          </w:p>
          <w:p w14:paraId="61F1BEEF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3.聰明/愚笨的人比較快樂</w:t>
            </w:r>
          </w:p>
          <w:p w14:paraId="1236D23C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4.富有比貧窮/貧窮比富有更容易暴露人性之惡</w:t>
            </w:r>
          </w:p>
          <w:p w14:paraId="5C2C017E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5.虛偽是好事/壞事</w:t>
            </w:r>
          </w:p>
          <w:p w14:paraId="1F42135F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6.醫學發展應/不應有倫理界線</w:t>
            </w:r>
          </w:p>
          <w:p w14:paraId="44EDD9C3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7.自媒體時代，人們離真相越來越遠/越來越近</w:t>
            </w:r>
          </w:p>
          <w:p w14:paraId="73C7D4CB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8.愛上人工智能算不算愛情</w:t>
            </w:r>
          </w:p>
          <w:p w14:paraId="543B7079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9.我們終將成為自己所討厭的人，是一件壞事嗎?</w:t>
            </w:r>
          </w:p>
          <w:p w14:paraId="0756AE33" w14:textId="77777777" w:rsidR="00887766" w:rsidRPr="000F3577" w:rsidRDefault="00887766" w:rsidP="00A873D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10.如果有一瓶可以消除悲傷的水，</w:t>
            </w:r>
            <w:proofErr w:type="gramStart"/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應該喝嗎</w:t>
            </w:r>
            <w:proofErr w:type="gramEnd"/>
            <w:r w:rsidRPr="000F3577">
              <w:rPr>
                <w:rFonts w:asciiTheme="majorEastAsia" w:eastAsiaTheme="majorEastAsia" w:hAnsiTheme="majorEastAsia" w:hint="eastAsia"/>
                <w:color w:val="000000" w:themeColor="text1"/>
              </w:rPr>
              <w:t>?</w:t>
            </w:r>
          </w:p>
          <w:p w14:paraId="23657EA5" w14:textId="77777777" w:rsidR="00887766" w:rsidRPr="000F3577" w:rsidRDefault="00887766" w:rsidP="00A873D2">
            <w:pPr>
              <w:pStyle w:val="a4"/>
              <w:spacing w:line="0" w:lineRule="atLeast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887766" w:rsidRPr="00FE75FE" w14:paraId="260C8920" w14:textId="77777777" w:rsidTr="00A873D2">
        <w:trPr>
          <w:trHeight w:val="2546"/>
          <w:jc w:val="center"/>
        </w:trPr>
        <w:tc>
          <w:tcPr>
            <w:tcW w:w="846" w:type="dxa"/>
            <w:tcBorders>
              <w:right w:val="double" w:sz="4" w:space="0" w:color="000080"/>
            </w:tcBorders>
            <w:vAlign w:val="center"/>
          </w:tcPr>
          <w:p w14:paraId="43C3FD13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評審資格</w:t>
            </w:r>
          </w:p>
        </w:tc>
        <w:tc>
          <w:tcPr>
            <w:tcW w:w="9639" w:type="dxa"/>
            <w:gridSpan w:val="4"/>
            <w:tcBorders>
              <w:left w:val="double" w:sz="4" w:space="0" w:color="000080"/>
            </w:tcBorders>
          </w:tcPr>
          <w:p w14:paraId="50D0900D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9"/>
              </w:numPr>
              <w:spacing w:line="0" w:lineRule="atLeast"/>
              <w:ind w:leftChars="1" w:left="463" w:hangingChars="192" w:hanging="461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>評審人選由主辦單位或總會奧瑞岡推廣委員會聘任之，並須顧及各分區比例與評審資歷深淺之平衡。</w:t>
            </w:r>
          </w:p>
          <w:p w14:paraId="6C332DDE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9"/>
              </w:numPr>
              <w:spacing w:line="0" w:lineRule="atLeast"/>
              <w:ind w:leftChars="1" w:left="463" w:hangingChars="192" w:hanging="461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ab/>
            </w:r>
            <w:r w:rsidRPr="00FE75FE">
              <w:rPr>
                <w:rFonts w:ascii="Times New Roman" w:eastAsia="標楷體" w:hAnsi="Times New Roman" w:cs="Times New Roman"/>
              </w:rPr>
              <w:t>總會理事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盃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(</w:t>
            </w:r>
            <w:r w:rsidRPr="00FE75FE">
              <w:rPr>
                <w:rFonts w:ascii="Times New Roman" w:eastAsia="標楷體" w:hAnsi="Times New Roman" w:cs="Times New Roman"/>
              </w:rPr>
              <w:t>初賽</w:t>
            </w:r>
            <w:r w:rsidRPr="00FE75FE">
              <w:rPr>
                <w:rFonts w:ascii="Times New Roman" w:eastAsia="標楷體" w:hAnsi="Times New Roman" w:cs="Times New Roman"/>
              </w:rPr>
              <w:t>)</w:t>
            </w:r>
            <w:r w:rsidRPr="00FE75FE">
              <w:rPr>
                <w:rFonts w:ascii="Times New Roman" w:eastAsia="標楷體" w:hAnsi="Times New Roman" w:cs="Times New Roman"/>
              </w:rPr>
              <w:t>可邀請區評審及總會評審擔任，若區評審</w:t>
            </w:r>
            <w:r w:rsidRPr="00FE75FE">
              <w:rPr>
                <w:rFonts w:ascii="Times New Roman" w:eastAsia="標楷體" w:hAnsi="Times New Roman" w:cs="Times New Roman"/>
                <w:b/>
                <w:bCs/>
              </w:rPr>
              <w:t>將參與副總會長</w:t>
            </w:r>
            <w:proofErr w:type="gramStart"/>
            <w:r w:rsidRPr="00FE75FE">
              <w:rPr>
                <w:rFonts w:ascii="Times New Roman" w:eastAsia="標楷體" w:hAnsi="Times New Roman" w:cs="Times New Roman"/>
                <w:b/>
                <w:bCs/>
              </w:rPr>
              <w:t>盃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則不得擔任自己分會所屬之分區評審。</w:t>
            </w:r>
          </w:p>
          <w:p w14:paraId="0273941D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9"/>
              </w:numPr>
              <w:spacing w:line="0" w:lineRule="atLeast"/>
              <w:ind w:leftChars="1" w:left="463" w:hangingChars="192" w:hanging="461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ab/>
            </w:r>
            <w:r w:rsidRPr="00FE75FE">
              <w:rPr>
                <w:rFonts w:ascii="Times New Roman" w:eastAsia="標楷體" w:hAnsi="Times New Roman" w:cs="Times New Roman"/>
              </w:rPr>
              <w:t>副總會長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盃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(</w:t>
            </w:r>
            <w:r w:rsidRPr="00FE75FE">
              <w:rPr>
                <w:rFonts w:ascii="Times New Roman" w:eastAsia="標楷體" w:hAnsi="Times New Roman" w:cs="Times New Roman"/>
              </w:rPr>
              <w:t>複賽</w:t>
            </w:r>
            <w:r w:rsidRPr="00FE75FE">
              <w:rPr>
                <w:rFonts w:ascii="Times New Roman" w:eastAsia="標楷體" w:hAnsi="Times New Roman" w:cs="Times New Roman"/>
              </w:rPr>
              <w:t>)</w:t>
            </w:r>
            <w:r w:rsidRPr="00FE75FE">
              <w:rPr>
                <w:rFonts w:ascii="Times New Roman" w:eastAsia="標楷體" w:hAnsi="Times New Roman" w:cs="Times New Roman"/>
              </w:rPr>
              <w:t>可邀請區評審及總會評審擔任，如擔任副總會長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盃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評審不得參與總會長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盃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(</w:t>
            </w:r>
            <w:r w:rsidRPr="00FE75FE">
              <w:rPr>
                <w:rFonts w:ascii="Times New Roman" w:eastAsia="標楷體" w:hAnsi="Times New Roman" w:cs="Times New Roman"/>
              </w:rPr>
              <w:t>決賽</w:t>
            </w:r>
            <w:r w:rsidRPr="00FE75FE">
              <w:rPr>
                <w:rFonts w:ascii="Times New Roman" w:eastAsia="標楷體" w:hAnsi="Times New Roman" w:cs="Times New Roman"/>
              </w:rPr>
              <w:t>)</w:t>
            </w:r>
            <w:r w:rsidRPr="00FE75FE">
              <w:rPr>
                <w:rFonts w:ascii="Times New Roman" w:eastAsia="標楷體" w:hAnsi="Times New Roman" w:cs="Times New Roman"/>
              </w:rPr>
              <w:t>。</w:t>
            </w:r>
          </w:p>
          <w:p w14:paraId="2705D6C2" w14:textId="77777777" w:rsidR="00887766" w:rsidRPr="00FE75FE" w:rsidRDefault="00887766" w:rsidP="00887766">
            <w:pPr>
              <w:pStyle w:val="a4"/>
              <w:widowControl/>
              <w:numPr>
                <w:ilvl w:val="0"/>
                <w:numId w:val="9"/>
              </w:numPr>
              <w:spacing w:line="0" w:lineRule="atLeast"/>
              <w:ind w:leftChars="1" w:left="463" w:hangingChars="192" w:hanging="461"/>
              <w:rPr>
                <w:rFonts w:ascii="Times New Roman" w:eastAsia="標楷體" w:hAnsi="Times New Roman" w:cs="Times New Roman"/>
              </w:rPr>
            </w:pPr>
            <w:r w:rsidRPr="00FE75FE">
              <w:rPr>
                <w:rFonts w:ascii="Times New Roman" w:eastAsia="標楷體" w:hAnsi="Times New Roman" w:cs="Times New Roman"/>
              </w:rPr>
              <w:tab/>
            </w:r>
            <w:r w:rsidRPr="00FE75FE">
              <w:rPr>
                <w:rFonts w:ascii="Times New Roman" w:eastAsia="標楷體" w:hAnsi="Times New Roman" w:cs="Times New Roman"/>
              </w:rPr>
              <w:t>總會長</w:t>
            </w:r>
            <w:proofErr w:type="gramStart"/>
            <w:r w:rsidRPr="00FE75FE">
              <w:rPr>
                <w:rFonts w:ascii="Times New Roman" w:eastAsia="標楷體" w:hAnsi="Times New Roman" w:cs="Times New Roman"/>
              </w:rPr>
              <w:t>盃</w:t>
            </w:r>
            <w:proofErr w:type="gramEnd"/>
            <w:r w:rsidRPr="00FE75FE">
              <w:rPr>
                <w:rFonts w:ascii="Times New Roman" w:eastAsia="標楷體" w:hAnsi="Times New Roman" w:cs="Times New Roman"/>
              </w:rPr>
              <w:t>(</w:t>
            </w:r>
            <w:r w:rsidRPr="00FE75FE">
              <w:rPr>
                <w:rFonts w:ascii="Times New Roman" w:eastAsia="標楷體" w:hAnsi="Times New Roman" w:cs="Times New Roman"/>
              </w:rPr>
              <w:t>決賽</w:t>
            </w:r>
            <w:r w:rsidRPr="00FE75FE">
              <w:rPr>
                <w:rFonts w:ascii="Times New Roman" w:eastAsia="標楷體" w:hAnsi="Times New Roman" w:cs="Times New Roman"/>
              </w:rPr>
              <w:t>)</w:t>
            </w:r>
            <w:r w:rsidRPr="00FE75FE">
              <w:rPr>
                <w:rFonts w:ascii="Times New Roman" w:eastAsia="標楷體" w:hAnsi="Times New Roman" w:cs="Times New Roman"/>
              </w:rPr>
              <w:t>須聘任總會之合格評審，若評審不足時，由總會奧瑞岡推廣委員會聘任之。</w:t>
            </w:r>
          </w:p>
        </w:tc>
      </w:tr>
      <w:tr w:rsidR="00887766" w:rsidRPr="00FE75FE" w14:paraId="0B403203" w14:textId="77777777" w:rsidTr="00A873D2">
        <w:trPr>
          <w:trHeight w:val="1690"/>
          <w:jc w:val="center"/>
        </w:trPr>
        <w:tc>
          <w:tcPr>
            <w:tcW w:w="846" w:type="dxa"/>
            <w:tcBorders>
              <w:right w:val="double" w:sz="4" w:space="0" w:color="000080"/>
            </w:tcBorders>
            <w:vAlign w:val="center"/>
          </w:tcPr>
          <w:p w14:paraId="49F56764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評審辦法及費用</w:t>
            </w:r>
          </w:p>
        </w:tc>
        <w:tc>
          <w:tcPr>
            <w:tcW w:w="9639" w:type="dxa"/>
            <w:gridSpan w:val="4"/>
            <w:tcBorders>
              <w:left w:val="double" w:sz="4" w:space="0" w:color="000080"/>
            </w:tcBorders>
            <w:vAlign w:val="center"/>
          </w:tcPr>
          <w:p w14:paraId="668C4E34" w14:textId="77777777" w:rsidR="00887766" w:rsidRPr="00FE75FE" w:rsidRDefault="00887766" w:rsidP="00A873D2">
            <w:pPr>
              <w:spacing w:line="0" w:lineRule="atLeast"/>
              <w:rPr>
                <w:rFonts w:eastAsia="標楷體"/>
              </w:rPr>
            </w:pPr>
            <w:r w:rsidRPr="00FE75FE">
              <w:rPr>
                <w:rFonts w:eastAsia="標楷體"/>
              </w:rPr>
              <w:t>每場次：主席</w:t>
            </w:r>
            <w:r w:rsidRPr="00FE75FE">
              <w:rPr>
                <w:rFonts w:eastAsia="標楷體"/>
              </w:rPr>
              <w:t>→</w:t>
            </w:r>
            <w:r w:rsidRPr="00FE75FE">
              <w:rPr>
                <w:rFonts w:eastAsia="標楷體"/>
              </w:rPr>
              <w:t>柒佰元，評審</w:t>
            </w:r>
            <w:r w:rsidRPr="00FE75FE">
              <w:rPr>
                <w:rFonts w:eastAsia="標楷體"/>
              </w:rPr>
              <w:t>→</w:t>
            </w:r>
            <w:r w:rsidRPr="00FE75FE">
              <w:rPr>
                <w:rFonts w:eastAsia="標楷體"/>
              </w:rPr>
              <w:t>陸佰元。</w:t>
            </w:r>
          </w:p>
          <w:p w14:paraId="2FA109CB" w14:textId="77777777" w:rsidR="00887766" w:rsidRPr="00FE75FE" w:rsidRDefault="00887766" w:rsidP="00A873D2">
            <w:pPr>
              <w:spacing w:line="0" w:lineRule="atLeast"/>
              <w:rPr>
                <w:rFonts w:eastAsia="標楷體"/>
              </w:rPr>
            </w:pPr>
            <w:r w:rsidRPr="00FE75FE">
              <w:rPr>
                <w:rFonts w:eastAsia="標楷體"/>
              </w:rPr>
              <w:t>跨區邀請之評審車馬費依總會規定，跨一區為陸佰元，例：南區評審至中區為陸佰元、至桃竹苗區為壹仟貳佰元，以此類推。</w:t>
            </w:r>
          </w:p>
          <w:p w14:paraId="50016F9C" w14:textId="77777777" w:rsidR="00887766" w:rsidRPr="00FE75FE" w:rsidRDefault="00887766" w:rsidP="00A873D2">
            <w:pPr>
              <w:spacing w:line="0" w:lineRule="atLeast"/>
              <w:rPr>
                <w:rFonts w:eastAsia="標楷體"/>
              </w:rPr>
            </w:pPr>
            <w:proofErr w:type="gramStart"/>
            <w:r w:rsidRPr="00FE75FE">
              <w:rPr>
                <w:rFonts w:eastAsia="標楷體"/>
              </w:rPr>
              <w:t>惟</w:t>
            </w:r>
            <w:proofErr w:type="gramEnd"/>
            <w:r w:rsidRPr="00FE75FE">
              <w:rPr>
                <w:rFonts w:eastAsia="標楷體"/>
              </w:rPr>
              <w:t>東區因交通問題，則皆以壹仟捌佰元計。</w:t>
            </w:r>
          </w:p>
          <w:p w14:paraId="62239CB8" w14:textId="77777777" w:rsidR="00887766" w:rsidRPr="00FE75FE" w:rsidRDefault="00887766" w:rsidP="00A873D2">
            <w:pPr>
              <w:spacing w:line="0" w:lineRule="atLeast"/>
              <w:rPr>
                <w:rFonts w:eastAsia="標楷體"/>
              </w:rPr>
            </w:pPr>
            <w:r w:rsidRPr="00FE75FE">
              <w:rPr>
                <w:rFonts w:eastAsia="標楷體"/>
              </w:rPr>
              <w:t>原則上各場次，主席不兼任評審，跨區車馬費依總會規定。</w:t>
            </w:r>
          </w:p>
        </w:tc>
      </w:tr>
      <w:tr w:rsidR="00887766" w:rsidRPr="00FE75FE" w14:paraId="08B5538F" w14:textId="77777777" w:rsidTr="00A873D2">
        <w:trPr>
          <w:trHeight w:val="708"/>
          <w:jc w:val="center"/>
        </w:trPr>
        <w:tc>
          <w:tcPr>
            <w:tcW w:w="846" w:type="dxa"/>
            <w:tcBorders>
              <w:right w:val="double" w:sz="4" w:space="0" w:color="000080"/>
            </w:tcBorders>
            <w:vAlign w:val="center"/>
          </w:tcPr>
          <w:p w14:paraId="38CB5789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優勝獎勵</w:t>
            </w:r>
          </w:p>
        </w:tc>
        <w:tc>
          <w:tcPr>
            <w:tcW w:w="9639" w:type="dxa"/>
            <w:gridSpan w:val="4"/>
            <w:tcBorders>
              <w:left w:val="double" w:sz="4" w:space="0" w:color="000080"/>
            </w:tcBorders>
            <w:vAlign w:val="center"/>
          </w:tcPr>
          <w:p w14:paraId="6BE9F051" w14:textId="77777777" w:rsidR="00887766" w:rsidRPr="00FE75FE" w:rsidRDefault="00887766" w:rsidP="00A873D2">
            <w:pPr>
              <w:spacing w:line="0" w:lineRule="atLeast"/>
              <w:rPr>
                <w:rFonts w:eastAsia="標楷體"/>
              </w:rPr>
            </w:pPr>
            <w:r w:rsidRPr="00FE75FE">
              <w:rPr>
                <w:rFonts w:eastAsia="標楷體"/>
              </w:rPr>
              <w:t>初賽</w:t>
            </w:r>
            <w:r w:rsidRPr="00FE75FE">
              <w:rPr>
                <w:rFonts w:eastAsia="標楷體"/>
              </w:rPr>
              <w:t>→</w:t>
            </w:r>
            <w:r w:rsidRPr="00FE75FE">
              <w:rPr>
                <w:rFonts w:eastAsia="標楷體"/>
              </w:rPr>
              <w:t>總會理事頒發獎盃；複賽</w:t>
            </w:r>
            <w:r w:rsidRPr="00FE75FE">
              <w:rPr>
                <w:rFonts w:eastAsia="標楷體"/>
              </w:rPr>
              <w:t>→</w:t>
            </w:r>
            <w:r w:rsidRPr="00FE75FE">
              <w:rPr>
                <w:rFonts w:eastAsia="標楷體"/>
              </w:rPr>
              <w:t>區會長頒發獎盃；決賽</w:t>
            </w:r>
            <w:r w:rsidRPr="00FE75FE">
              <w:rPr>
                <w:rFonts w:eastAsia="標楷體"/>
              </w:rPr>
              <w:t>→</w:t>
            </w:r>
            <w:r w:rsidRPr="00FE75FE">
              <w:rPr>
                <w:rFonts w:eastAsia="標楷體"/>
              </w:rPr>
              <w:t>總會長頒發冠軍獎盃</w:t>
            </w:r>
          </w:p>
        </w:tc>
      </w:tr>
      <w:tr w:rsidR="00887766" w:rsidRPr="00FE75FE" w14:paraId="7E012952" w14:textId="77777777" w:rsidTr="00A873D2">
        <w:trPr>
          <w:trHeight w:val="548"/>
          <w:jc w:val="center"/>
        </w:trPr>
        <w:tc>
          <w:tcPr>
            <w:tcW w:w="846" w:type="dxa"/>
            <w:tcBorders>
              <w:right w:val="double" w:sz="4" w:space="0" w:color="000080"/>
            </w:tcBorders>
            <w:vAlign w:val="center"/>
          </w:tcPr>
          <w:p w14:paraId="2F533971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指導單位</w:t>
            </w:r>
          </w:p>
        </w:tc>
        <w:tc>
          <w:tcPr>
            <w:tcW w:w="9639" w:type="dxa"/>
            <w:gridSpan w:val="4"/>
            <w:tcBorders>
              <w:left w:val="double" w:sz="4" w:space="0" w:color="000080"/>
            </w:tcBorders>
            <w:vAlign w:val="center"/>
          </w:tcPr>
          <w:p w14:paraId="26CF6923" w14:textId="77777777" w:rsidR="00887766" w:rsidRPr="00FE75FE" w:rsidRDefault="00887766" w:rsidP="00A873D2">
            <w:pPr>
              <w:spacing w:line="0" w:lineRule="atLeast"/>
              <w:rPr>
                <w:rFonts w:eastAsia="標楷體"/>
              </w:rPr>
            </w:pPr>
            <w:r w:rsidRPr="00FE75FE">
              <w:rPr>
                <w:rFonts w:eastAsia="標楷體"/>
              </w:rPr>
              <w:t>總會奧瑞岡辯論推廣委員會</w:t>
            </w:r>
          </w:p>
        </w:tc>
      </w:tr>
      <w:tr w:rsidR="00887766" w:rsidRPr="00FE75FE" w14:paraId="2DD7C8A1" w14:textId="77777777" w:rsidTr="00A873D2">
        <w:trPr>
          <w:trHeight w:val="627"/>
          <w:jc w:val="center"/>
        </w:trPr>
        <w:tc>
          <w:tcPr>
            <w:tcW w:w="846" w:type="dxa"/>
            <w:tcBorders>
              <w:bottom w:val="thinThickSmallGap" w:sz="12" w:space="0" w:color="000080"/>
              <w:right w:val="double" w:sz="4" w:space="0" w:color="000080"/>
            </w:tcBorders>
            <w:vAlign w:val="center"/>
          </w:tcPr>
          <w:p w14:paraId="0D9B252E" w14:textId="77777777" w:rsidR="00887766" w:rsidRPr="00FE75FE" w:rsidRDefault="00887766" w:rsidP="00A873D2">
            <w:pPr>
              <w:spacing w:line="0" w:lineRule="atLeast"/>
              <w:jc w:val="center"/>
              <w:rPr>
                <w:rFonts w:eastAsia="標楷體"/>
              </w:rPr>
            </w:pPr>
            <w:r w:rsidRPr="00FE75FE">
              <w:rPr>
                <w:rFonts w:eastAsia="標楷體"/>
              </w:rPr>
              <w:t>備註</w:t>
            </w:r>
          </w:p>
        </w:tc>
        <w:tc>
          <w:tcPr>
            <w:tcW w:w="9639" w:type="dxa"/>
            <w:gridSpan w:val="4"/>
            <w:tcBorders>
              <w:left w:val="double" w:sz="4" w:space="0" w:color="000080"/>
            </w:tcBorders>
            <w:vAlign w:val="center"/>
          </w:tcPr>
          <w:p w14:paraId="13EE08E4" w14:textId="77777777" w:rsidR="00887766" w:rsidRPr="00FE75FE" w:rsidRDefault="00887766" w:rsidP="00A873D2">
            <w:pPr>
              <w:spacing w:line="0" w:lineRule="atLeast"/>
              <w:rPr>
                <w:rFonts w:eastAsia="標楷體"/>
              </w:rPr>
            </w:pPr>
            <w:r w:rsidRPr="00FE75FE">
              <w:rPr>
                <w:rFonts w:eastAsia="標楷體"/>
              </w:rPr>
              <w:t>其他未盡事宜，由總會奧瑞岡辯論推廣委員會、領隊及參賽隊伍協調另訂之。</w:t>
            </w:r>
          </w:p>
        </w:tc>
      </w:tr>
    </w:tbl>
    <w:p w14:paraId="4D48C849" w14:textId="77777777" w:rsidR="00887766" w:rsidRPr="00887766" w:rsidRDefault="00887766"/>
    <w:sectPr w:rsidR="00887766" w:rsidRPr="008877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1685" w14:textId="77777777" w:rsidR="00D85CBF" w:rsidRDefault="00D85CBF" w:rsidP="0009211B">
      <w:r>
        <w:separator/>
      </w:r>
    </w:p>
  </w:endnote>
  <w:endnote w:type="continuationSeparator" w:id="0">
    <w:p w14:paraId="6C0EA170" w14:textId="77777777" w:rsidR="00D85CBF" w:rsidRDefault="00D85CBF" w:rsidP="0009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D056" w14:textId="77777777" w:rsidR="00D85CBF" w:rsidRDefault="00D85CBF" w:rsidP="0009211B">
      <w:r>
        <w:separator/>
      </w:r>
    </w:p>
  </w:footnote>
  <w:footnote w:type="continuationSeparator" w:id="0">
    <w:p w14:paraId="782A252D" w14:textId="77777777" w:rsidR="00D85CBF" w:rsidRDefault="00D85CBF" w:rsidP="0009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D7"/>
    <w:multiLevelType w:val="hybridMultilevel"/>
    <w:tmpl w:val="8C1A5BF4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005E8C"/>
    <w:multiLevelType w:val="hybridMultilevel"/>
    <w:tmpl w:val="8C1A5BF4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D82A05"/>
    <w:multiLevelType w:val="hybridMultilevel"/>
    <w:tmpl w:val="8C1A5BF4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597DDC"/>
    <w:multiLevelType w:val="hybridMultilevel"/>
    <w:tmpl w:val="540CA086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661C7C"/>
    <w:multiLevelType w:val="hybridMultilevel"/>
    <w:tmpl w:val="8C1A5BF4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3B48E2"/>
    <w:multiLevelType w:val="hybridMultilevel"/>
    <w:tmpl w:val="8C1A5BF4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2E28EC"/>
    <w:multiLevelType w:val="hybridMultilevel"/>
    <w:tmpl w:val="07743CC6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701100"/>
    <w:multiLevelType w:val="hybridMultilevel"/>
    <w:tmpl w:val="07743CC6"/>
    <w:lvl w:ilvl="0" w:tplc="80C21D7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DD2393"/>
    <w:multiLevelType w:val="hybridMultilevel"/>
    <w:tmpl w:val="07743CC6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7722680">
    <w:abstractNumId w:val="7"/>
  </w:num>
  <w:num w:numId="2" w16cid:durableId="797263137">
    <w:abstractNumId w:val="6"/>
  </w:num>
  <w:num w:numId="3" w16cid:durableId="1092360293">
    <w:abstractNumId w:val="8"/>
  </w:num>
  <w:num w:numId="4" w16cid:durableId="1927500225">
    <w:abstractNumId w:val="1"/>
  </w:num>
  <w:num w:numId="5" w16cid:durableId="605699874">
    <w:abstractNumId w:val="4"/>
  </w:num>
  <w:num w:numId="6" w16cid:durableId="430667139">
    <w:abstractNumId w:val="3"/>
  </w:num>
  <w:num w:numId="7" w16cid:durableId="425005088">
    <w:abstractNumId w:val="0"/>
  </w:num>
  <w:num w:numId="8" w16cid:durableId="333186787">
    <w:abstractNumId w:val="2"/>
  </w:num>
  <w:num w:numId="9" w16cid:durableId="742265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66"/>
    <w:rsid w:val="0009211B"/>
    <w:rsid w:val="00853287"/>
    <w:rsid w:val="00887766"/>
    <w:rsid w:val="00BC2D81"/>
    <w:rsid w:val="00C626C8"/>
    <w:rsid w:val="00D810CE"/>
    <w:rsid w:val="00D85CBF"/>
    <w:rsid w:val="00DA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2C5A0"/>
  <w15:chartTrackingRefBased/>
  <w15:docId w15:val="{E1951FDC-53EF-468D-BD21-971842E3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66"/>
    <w:pPr>
      <w:widowControl w:val="0"/>
    </w:pPr>
    <w:rPr>
      <w:rFonts w:ascii="Times New Roman" w:hAnsi="Times New Roman" w:cs="Times New Roman"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76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766"/>
    <w:pPr>
      <w:ind w:leftChars="200" w:left="480"/>
    </w:pPr>
    <w:rPr>
      <w:rFonts w:asciiTheme="minorHAnsi" w:hAnsiTheme="minorHAnsi" w:cstheme="minorBidi"/>
      <w:kern w:val="2"/>
      <w:szCs w:val="22"/>
    </w:rPr>
  </w:style>
  <w:style w:type="paragraph" w:customStyle="1" w:styleId="Default">
    <w:name w:val="Default"/>
    <w:rsid w:val="0088776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92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211B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092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211B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奧瑞岡 歐陽建佑</dc:creator>
  <cp:keywords/>
  <dc:description/>
  <cp:lastModifiedBy>奧瑞岡 歐陽建佑</cp:lastModifiedBy>
  <cp:revision>3</cp:revision>
  <dcterms:created xsi:type="dcterms:W3CDTF">2025-01-11T13:41:00Z</dcterms:created>
  <dcterms:modified xsi:type="dcterms:W3CDTF">2025-02-03T07:37:00Z</dcterms:modified>
</cp:coreProperties>
</file>